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B1" w:rsidRDefault="006223B1" w:rsidP="006223B1">
      <w:pPr>
        <w:pStyle w:val="T0Cursor"/>
      </w:pPr>
    </w:p>
    <w:p w:rsidR="006223B1" w:rsidRDefault="00720F6D" w:rsidP="006223B1">
      <w:pPr>
        <w:pStyle w:val="T1Categorytitle"/>
      </w:pPr>
      <w:bookmarkStart w:id="0" w:name="_GoBack"/>
      <w:bookmarkEnd w:id="0"/>
      <w:r>
        <w:t xml:space="preserve">TECHNICAL </w:t>
      </w:r>
      <w:r w:rsidR="00FE0782">
        <w:t>specification</w:t>
      </w:r>
    </w:p>
    <w:p w:rsidR="006223B1" w:rsidRDefault="00FB3B03" w:rsidP="006223B1">
      <w:pPr>
        <w:pStyle w:val="Title"/>
      </w:pPr>
      <w:r>
        <w:t>DALI</w:t>
      </w:r>
      <w:r w:rsidR="00720F6D">
        <w:t xml:space="preserve"> specification</w:t>
      </w:r>
    </w:p>
    <w:p w:rsidR="00232219" w:rsidRDefault="00FE0782" w:rsidP="00232219">
      <w:pPr>
        <w:pStyle w:val="Subtitle"/>
      </w:pPr>
      <w:r>
        <w:t>Emergency an</w:t>
      </w:r>
      <w:r w:rsidR="00FB3B03">
        <w:t>d exit lighting</w:t>
      </w:r>
    </w:p>
    <w:p w:rsidR="00720F6D" w:rsidRDefault="00720F6D" w:rsidP="00720F6D">
      <w:pPr>
        <w:pStyle w:val="Body"/>
      </w:pPr>
    </w:p>
    <w:p w:rsidR="00FE0782" w:rsidRPr="00720F6D" w:rsidRDefault="00FE0782" w:rsidP="003964C1">
      <w:pPr>
        <w:pStyle w:val="Heading3"/>
      </w:pPr>
      <w:r w:rsidRPr="00720F6D">
        <w:t>General</w:t>
      </w:r>
    </w:p>
    <w:p w:rsidR="00C2253C" w:rsidRPr="00C2253C" w:rsidRDefault="00C2253C" w:rsidP="00C2253C">
      <w:pPr>
        <w:rPr>
          <w:rFonts w:ascii="ABBvoice" w:hAnsi="ABBvoice" w:cs="ABBvoice"/>
          <w:sz w:val="19"/>
          <w:szCs w:val="19"/>
        </w:rPr>
      </w:pPr>
      <w:r w:rsidRPr="00C2253C">
        <w:rPr>
          <w:rFonts w:ascii="ABBvoice" w:hAnsi="ABBvoice" w:cs="ABBvoice"/>
          <w:sz w:val="19"/>
          <w:szCs w:val="19"/>
        </w:rPr>
        <w:t>Provide ABB Stanilite</w:t>
      </w:r>
      <w:r>
        <w:rPr>
          <w:rFonts w:ascii="ABBvoice" w:hAnsi="ABBvoice" w:cs="ABBvoice"/>
          <w:sz w:val="19"/>
          <w:szCs w:val="19"/>
        </w:rPr>
        <w:t>®</w:t>
      </w:r>
      <w:r w:rsidRPr="00C2253C">
        <w:rPr>
          <w:rFonts w:ascii="ABBvoice" w:hAnsi="ABBvoice" w:cs="ABBvoice"/>
          <w:sz w:val="19"/>
          <w:szCs w:val="19"/>
        </w:rPr>
        <w:t xml:space="preserve"> DALI </w:t>
      </w:r>
      <w:r>
        <w:rPr>
          <w:rFonts w:ascii="ABBvoice" w:hAnsi="ABBvoice" w:cs="ABBvoice"/>
          <w:sz w:val="19"/>
          <w:szCs w:val="19"/>
        </w:rPr>
        <w:t>c</w:t>
      </w:r>
      <w:r w:rsidRPr="00C2253C">
        <w:rPr>
          <w:rFonts w:ascii="ABBvoice" w:hAnsi="ABBvoice" w:cs="ABBvoice"/>
          <w:sz w:val="19"/>
          <w:szCs w:val="19"/>
        </w:rPr>
        <w:t>ompliant exit and emergency lighting throughout the scope.</w:t>
      </w:r>
    </w:p>
    <w:p w:rsidR="0004141A" w:rsidRPr="003157D4" w:rsidRDefault="0004141A" w:rsidP="003157D4">
      <w:pPr>
        <w:pStyle w:val="Heading3"/>
      </w:pPr>
      <w:r w:rsidRPr="003157D4">
        <w:t>Scope</w:t>
      </w:r>
    </w:p>
    <w:p w:rsidR="00B14695" w:rsidRPr="00B14695" w:rsidRDefault="00B14695" w:rsidP="00B14695">
      <w:pPr>
        <w:rPr>
          <w:rFonts w:ascii="ABBvoice" w:hAnsi="ABBvoice" w:cs="ABBvoice"/>
          <w:sz w:val="19"/>
          <w:szCs w:val="19"/>
        </w:rPr>
      </w:pPr>
      <w:r w:rsidRPr="00B14695">
        <w:rPr>
          <w:rFonts w:ascii="ABBvoice" w:hAnsi="ABBvoice" w:cs="ABBvoice"/>
          <w:sz w:val="19"/>
          <w:szCs w:val="19"/>
        </w:rPr>
        <w:t>Provide emergency and exit lighting systems comprising:</w:t>
      </w:r>
    </w:p>
    <w:p w:rsidR="00B14695" w:rsidRPr="00B14695" w:rsidRDefault="00B14695" w:rsidP="00B14695">
      <w:pPr>
        <w:pStyle w:val="ListParagraph"/>
        <w:numPr>
          <w:ilvl w:val="0"/>
          <w:numId w:val="8"/>
        </w:numPr>
        <w:rPr>
          <w:rFonts w:ascii="ABBvoice" w:hAnsi="ABBvoice" w:cs="ABBvoice"/>
          <w:sz w:val="19"/>
          <w:szCs w:val="19"/>
        </w:rPr>
      </w:pPr>
      <w:r w:rsidRPr="00B14695">
        <w:rPr>
          <w:rFonts w:ascii="ABBvoice" w:hAnsi="ABBvoice" w:cs="ABBvoice"/>
          <w:sz w:val="19"/>
          <w:szCs w:val="19"/>
        </w:rPr>
        <w:t xml:space="preserve">Self-contained single point battery reserve emergency lightings with </w:t>
      </w:r>
      <w:r>
        <w:rPr>
          <w:rFonts w:ascii="ABBvoice" w:hAnsi="ABBvoice" w:cs="ABBvoice"/>
          <w:sz w:val="19"/>
          <w:szCs w:val="19"/>
        </w:rPr>
        <w:t>DALI c</w:t>
      </w:r>
      <w:r w:rsidRPr="00B14695">
        <w:rPr>
          <w:rFonts w:ascii="ABBvoice" w:hAnsi="ABBvoice" w:cs="ABBvoice"/>
          <w:sz w:val="19"/>
          <w:szCs w:val="19"/>
        </w:rPr>
        <w:t>ompliant capability;</w:t>
      </w:r>
    </w:p>
    <w:p w:rsidR="00B14695" w:rsidRPr="00B14695" w:rsidRDefault="00B14695" w:rsidP="00B14695">
      <w:pPr>
        <w:pStyle w:val="ListParagraph"/>
        <w:numPr>
          <w:ilvl w:val="0"/>
          <w:numId w:val="8"/>
        </w:numPr>
        <w:rPr>
          <w:rFonts w:ascii="ABBvoice" w:hAnsi="ABBvoice" w:cs="ABBvoice"/>
          <w:sz w:val="19"/>
          <w:szCs w:val="19"/>
        </w:rPr>
      </w:pPr>
      <w:r w:rsidRPr="00B14695">
        <w:rPr>
          <w:rFonts w:ascii="ABBvoice" w:hAnsi="ABBvoice" w:cs="ABBvoice"/>
          <w:sz w:val="19"/>
          <w:szCs w:val="19"/>
        </w:rPr>
        <w:t xml:space="preserve">Self-contained single battery reserve exit lights with </w:t>
      </w:r>
      <w:r>
        <w:rPr>
          <w:rFonts w:ascii="ABBvoice" w:hAnsi="ABBvoice" w:cs="ABBvoice"/>
          <w:sz w:val="19"/>
          <w:szCs w:val="19"/>
        </w:rPr>
        <w:t>DALI c</w:t>
      </w:r>
      <w:r w:rsidRPr="00B14695">
        <w:rPr>
          <w:rFonts w:ascii="ABBvoice" w:hAnsi="ABBvoice" w:cs="ABBvoice"/>
          <w:sz w:val="19"/>
          <w:szCs w:val="19"/>
        </w:rPr>
        <w:t>ompliant capability;</w:t>
      </w:r>
    </w:p>
    <w:p w:rsidR="00B14695" w:rsidRPr="00B14695" w:rsidRDefault="00B14695" w:rsidP="00B14695">
      <w:pPr>
        <w:pStyle w:val="ListParagraph"/>
        <w:numPr>
          <w:ilvl w:val="0"/>
          <w:numId w:val="8"/>
        </w:numPr>
        <w:rPr>
          <w:rFonts w:ascii="ABBvoice" w:hAnsi="ABBvoice" w:cs="ABBvoice"/>
          <w:sz w:val="19"/>
          <w:szCs w:val="19"/>
        </w:rPr>
      </w:pPr>
      <w:r w:rsidRPr="00B14695">
        <w:rPr>
          <w:rFonts w:ascii="ABBvoice" w:hAnsi="ABBvoice" w:cs="ABBvoice"/>
          <w:sz w:val="19"/>
          <w:szCs w:val="19"/>
        </w:rPr>
        <w:t>Luminaire wiring and controls;</w:t>
      </w:r>
    </w:p>
    <w:p w:rsidR="00B14695" w:rsidRPr="00B14695" w:rsidRDefault="00B14695" w:rsidP="00B14695">
      <w:pPr>
        <w:pStyle w:val="ListParagraph"/>
        <w:numPr>
          <w:ilvl w:val="0"/>
          <w:numId w:val="8"/>
        </w:numPr>
        <w:rPr>
          <w:rFonts w:ascii="ABBvoice" w:hAnsi="ABBvoice" w:cs="ABBvoice"/>
          <w:sz w:val="19"/>
          <w:szCs w:val="19"/>
        </w:rPr>
      </w:pPr>
      <w:r w:rsidRPr="00B14695">
        <w:rPr>
          <w:rFonts w:ascii="ABBvoice" w:hAnsi="ABBvoice" w:cs="ABBvoice"/>
          <w:sz w:val="19"/>
          <w:szCs w:val="19"/>
        </w:rPr>
        <w:t>All exit and emergency lights to be classified by an approved authority in accordance with AS</w:t>
      </w:r>
      <w:r>
        <w:rPr>
          <w:rFonts w:ascii="ABBvoice" w:hAnsi="ABBvoice" w:cs="ABBvoice"/>
          <w:sz w:val="19"/>
          <w:szCs w:val="19"/>
        </w:rPr>
        <w:t>/</w:t>
      </w:r>
      <w:r w:rsidRPr="00B14695">
        <w:rPr>
          <w:rFonts w:ascii="ABBvoice" w:hAnsi="ABBvoice" w:cs="ABBvoice"/>
          <w:sz w:val="19"/>
          <w:szCs w:val="19"/>
        </w:rPr>
        <w:t>NZS 2293.1 with the classification being clearly identified on the luminaire</w:t>
      </w:r>
    </w:p>
    <w:p w:rsidR="00B14695" w:rsidRPr="00B14695" w:rsidRDefault="00B14695" w:rsidP="00B14695">
      <w:pPr>
        <w:pStyle w:val="ListParagraph"/>
        <w:numPr>
          <w:ilvl w:val="0"/>
          <w:numId w:val="8"/>
        </w:numPr>
        <w:rPr>
          <w:rFonts w:ascii="ABBvoice" w:hAnsi="ABBvoice" w:cs="ABBvoice"/>
          <w:sz w:val="19"/>
          <w:szCs w:val="19"/>
        </w:rPr>
      </w:pPr>
      <w:r w:rsidRPr="00B14695">
        <w:rPr>
          <w:rFonts w:ascii="ABBvoice" w:hAnsi="ABBvoice" w:cs="ABBvoice"/>
          <w:sz w:val="19"/>
          <w:szCs w:val="19"/>
        </w:rPr>
        <w:t>Installation of the system in accordance with the manufacturers installation and commissioning guidelines</w:t>
      </w:r>
    </w:p>
    <w:p w:rsidR="0004141A" w:rsidRPr="003157D4" w:rsidRDefault="0004141A" w:rsidP="003157D4">
      <w:pPr>
        <w:pStyle w:val="Heading3"/>
      </w:pPr>
      <w:r w:rsidRPr="003157D4">
        <w:t>Standards</w:t>
      </w:r>
    </w:p>
    <w:p w:rsidR="0004141A" w:rsidRPr="003157D4" w:rsidRDefault="008571C3" w:rsidP="003157D4">
      <w:pPr>
        <w:pStyle w:val="Subheading"/>
      </w:pPr>
      <w:r>
        <w:t>Reference d</w:t>
      </w:r>
      <w:r w:rsidR="0004141A" w:rsidRPr="003157D4">
        <w:t>ocuments</w:t>
      </w:r>
    </w:p>
    <w:p w:rsidR="0004141A" w:rsidRPr="003157D4" w:rsidRDefault="0004141A" w:rsidP="0004141A">
      <w:pPr>
        <w:rPr>
          <w:rFonts w:cstheme="minorHAnsi"/>
          <w:sz w:val="19"/>
          <w:szCs w:val="19"/>
        </w:rPr>
      </w:pPr>
      <w:r w:rsidRPr="003157D4">
        <w:rPr>
          <w:rFonts w:cstheme="minorHAnsi"/>
          <w:sz w:val="19"/>
          <w:szCs w:val="19"/>
        </w:rPr>
        <w:t>Comply with the following standards:</w:t>
      </w:r>
    </w:p>
    <w:p w:rsidR="0004141A" w:rsidRPr="003157D4" w:rsidRDefault="0004141A" w:rsidP="003157D4">
      <w:pPr>
        <w:pStyle w:val="ListParagraph"/>
        <w:numPr>
          <w:ilvl w:val="0"/>
          <w:numId w:val="17"/>
        </w:numPr>
        <w:rPr>
          <w:rFonts w:cstheme="minorHAnsi"/>
          <w:sz w:val="19"/>
          <w:szCs w:val="19"/>
        </w:rPr>
      </w:pPr>
      <w:r w:rsidRPr="003157D4">
        <w:rPr>
          <w:rFonts w:cstheme="minorHAnsi"/>
          <w:sz w:val="19"/>
          <w:szCs w:val="19"/>
        </w:rPr>
        <w:t>AS/NZS 2293</w:t>
      </w:r>
      <w:r w:rsidR="003157D4" w:rsidRPr="003157D4">
        <w:rPr>
          <w:rFonts w:cstheme="minorHAnsi"/>
          <w:sz w:val="19"/>
          <w:szCs w:val="19"/>
        </w:rPr>
        <w:t xml:space="preserve"> - e</w:t>
      </w:r>
      <w:r w:rsidRPr="003157D4">
        <w:rPr>
          <w:rFonts w:cstheme="minorHAnsi"/>
          <w:sz w:val="19"/>
          <w:szCs w:val="19"/>
        </w:rPr>
        <w:t xml:space="preserve">mergency </w:t>
      </w:r>
      <w:r w:rsidR="003157D4" w:rsidRPr="003157D4">
        <w:rPr>
          <w:rFonts w:cstheme="minorHAnsi"/>
          <w:sz w:val="19"/>
          <w:szCs w:val="19"/>
        </w:rPr>
        <w:t>e</w:t>
      </w:r>
      <w:r w:rsidRPr="003157D4">
        <w:rPr>
          <w:rFonts w:cstheme="minorHAnsi"/>
          <w:sz w:val="19"/>
          <w:szCs w:val="19"/>
        </w:rPr>
        <w:t xml:space="preserve">vacuation </w:t>
      </w:r>
      <w:r w:rsidR="003157D4" w:rsidRPr="003157D4">
        <w:rPr>
          <w:rFonts w:cstheme="minorHAnsi"/>
          <w:sz w:val="19"/>
          <w:szCs w:val="19"/>
        </w:rPr>
        <w:t>l</w:t>
      </w:r>
      <w:r w:rsidRPr="003157D4">
        <w:rPr>
          <w:rFonts w:cstheme="minorHAnsi"/>
          <w:sz w:val="19"/>
          <w:szCs w:val="19"/>
        </w:rPr>
        <w:t xml:space="preserve">ighting in </w:t>
      </w:r>
      <w:r w:rsidR="003157D4" w:rsidRPr="003157D4">
        <w:rPr>
          <w:rFonts w:cstheme="minorHAnsi"/>
          <w:sz w:val="19"/>
          <w:szCs w:val="19"/>
        </w:rPr>
        <w:t>b</w:t>
      </w:r>
      <w:r w:rsidRPr="003157D4">
        <w:rPr>
          <w:rFonts w:cstheme="minorHAnsi"/>
          <w:sz w:val="19"/>
          <w:szCs w:val="19"/>
        </w:rPr>
        <w:t>uildings</w:t>
      </w:r>
    </w:p>
    <w:p w:rsidR="0004141A" w:rsidRPr="003157D4" w:rsidRDefault="0004141A" w:rsidP="003157D4">
      <w:pPr>
        <w:pStyle w:val="ListParagraph"/>
        <w:numPr>
          <w:ilvl w:val="0"/>
          <w:numId w:val="17"/>
        </w:numPr>
        <w:rPr>
          <w:rFonts w:cstheme="minorHAnsi"/>
          <w:sz w:val="19"/>
          <w:szCs w:val="19"/>
        </w:rPr>
      </w:pPr>
      <w:r w:rsidRPr="003157D4">
        <w:rPr>
          <w:rFonts w:cstheme="minorHAnsi"/>
          <w:sz w:val="19"/>
          <w:szCs w:val="19"/>
        </w:rPr>
        <w:t>AS/ACIF S009</w:t>
      </w:r>
      <w:r w:rsidR="003157D4" w:rsidRPr="003157D4">
        <w:rPr>
          <w:rFonts w:cstheme="minorHAnsi"/>
          <w:sz w:val="19"/>
          <w:szCs w:val="19"/>
        </w:rPr>
        <w:t xml:space="preserve"> - i</w:t>
      </w:r>
      <w:r w:rsidRPr="003157D4">
        <w:rPr>
          <w:rFonts w:cstheme="minorHAnsi"/>
          <w:sz w:val="19"/>
          <w:szCs w:val="19"/>
        </w:rPr>
        <w:t>nstallation requirements for customer cabling (</w:t>
      </w:r>
      <w:r w:rsidR="003157D4" w:rsidRPr="003157D4">
        <w:rPr>
          <w:rFonts w:cstheme="minorHAnsi"/>
          <w:sz w:val="19"/>
          <w:szCs w:val="19"/>
        </w:rPr>
        <w:t>w</w:t>
      </w:r>
      <w:r w:rsidRPr="003157D4">
        <w:rPr>
          <w:rFonts w:cstheme="minorHAnsi"/>
          <w:sz w:val="19"/>
          <w:szCs w:val="19"/>
        </w:rPr>
        <w:t xml:space="preserve">iring </w:t>
      </w:r>
      <w:r w:rsidR="003157D4" w:rsidRPr="003157D4">
        <w:rPr>
          <w:rFonts w:cstheme="minorHAnsi"/>
          <w:sz w:val="19"/>
          <w:szCs w:val="19"/>
        </w:rPr>
        <w:t>r</w:t>
      </w:r>
      <w:r w:rsidRPr="003157D4">
        <w:rPr>
          <w:rFonts w:cstheme="minorHAnsi"/>
          <w:sz w:val="19"/>
          <w:szCs w:val="19"/>
        </w:rPr>
        <w:t>ules)</w:t>
      </w:r>
    </w:p>
    <w:p w:rsidR="0004141A" w:rsidRDefault="0004141A" w:rsidP="003157D4">
      <w:pPr>
        <w:pStyle w:val="ListParagraph"/>
        <w:numPr>
          <w:ilvl w:val="0"/>
          <w:numId w:val="17"/>
        </w:numPr>
        <w:rPr>
          <w:rFonts w:cstheme="minorHAnsi"/>
          <w:sz w:val="19"/>
          <w:szCs w:val="19"/>
        </w:rPr>
      </w:pPr>
      <w:r w:rsidRPr="003157D4">
        <w:rPr>
          <w:rFonts w:cstheme="minorHAnsi"/>
          <w:sz w:val="19"/>
          <w:szCs w:val="19"/>
        </w:rPr>
        <w:t>AS</w:t>
      </w:r>
      <w:r w:rsidR="00D959C2">
        <w:rPr>
          <w:rFonts w:cstheme="minorHAnsi"/>
          <w:sz w:val="19"/>
          <w:szCs w:val="19"/>
        </w:rPr>
        <w:t>/NZS</w:t>
      </w:r>
      <w:r w:rsidRPr="003157D4">
        <w:rPr>
          <w:rFonts w:cstheme="minorHAnsi"/>
          <w:sz w:val="19"/>
          <w:szCs w:val="19"/>
        </w:rPr>
        <w:t xml:space="preserve"> 3000</w:t>
      </w:r>
      <w:r w:rsidR="003157D4" w:rsidRPr="003157D4">
        <w:rPr>
          <w:rFonts w:cstheme="minorHAnsi"/>
          <w:sz w:val="19"/>
          <w:szCs w:val="19"/>
        </w:rPr>
        <w:t xml:space="preserve"> </w:t>
      </w:r>
      <w:r w:rsidR="00D959C2">
        <w:rPr>
          <w:rFonts w:cstheme="minorHAnsi"/>
          <w:sz w:val="19"/>
          <w:szCs w:val="19"/>
        </w:rPr>
        <w:t>-</w:t>
      </w:r>
      <w:r w:rsidR="003157D4" w:rsidRPr="003157D4">
        <w:rPr>
          <w:rFonts w:cstheme="minorHAnsi"/>
          <w:sz w:val="19"/>
          <w:szCs w:val="19"/>
        </w:rPr>
        <w:t xml:space="preserve"> </w:t>
      </w:r>
      <w:r w:rsidR="00D959C2">
        <w:rPr>
          <w:rFonts w:cstheme="minorHAnsi"/>
          <w:sz w:val="19"/>
          <w:szCs w:val="19"/>
        </w:rPr>
        <w:t>wiring rules</w:t>
      </w:r>
    </w:p>
    <w:p w:rsidR="00D959C2" w:rsidRPr="003157D4" w:rsidRDefault="00D959C2" w:rsidP="003157D4">
      <w:pPr>
        <w:pStyle w:val="ListParagraph"/>
        <w:numPr>
          <w:ilvl w:val="0"/>
          <w:numId w:val="17"/>
        </w:numPr>
        <w:rPr>
          <w:rFonts w:cstheme="minorHAnsi"/>
          <w:sz w:val="19"/>
          <w:szCs w:val="19"/>
        </w:rPr>
      </w:pPr>
      <w:r>
        <w:rPr>
          <w:rFonts w:cstheme="minorHAnsi"/>
          <w:sz w:val="19"/>
          <w:szCs w:val="19"/>
        </w:rPr>
        <w:t>IEC 62386 - international DALI standard</w:t>
      </w:r>
    </w:p>
    <w:p w:rsidR="0004141A" w:rsidRPr="00D959C2" w:rsidRDefault="00D959C2" w:rsidP="0004141A">
      <w:pPr>
        <w:rPr>
          <w:rFonts w:cstheme="minorHAnsi"/>
          <w:sz w:val="19"/>
          <w:szCs w:val="19"/>
        </w:rPr>
      </w:pPr>
      <w:r w:rsidRPr="00D959C2">
        <w:rPr>
          <w:rFonts w:cstheme="minorHAnsi"/>
          <w:sz w:val="19"/>
          <w:szCs w:val="19"/>
        </w:rPr>
        <w:t xml:space="preserve">Exit </w:t>
      </w:r>
      <w:r w:rsidRPr="00D959C2">
        <w:rPr>
          <w:rFonts w:ascii="ABBvoice" w:hAnsi="ABBvoice" w:cs="ABBvoice"/>
          <w:sz w:val="19"/>
          <w:szCs w:val="19"/>
        </w:rPr>
        <w:t xml:space="preserve">and emergency lighting complying with all relevant clauses in the </w:t>
      </w:r>
      <w:r>
        <w:rPr>
          <w:rFonts w:ascii="ABBvoice" w:hAnsi="ABBvoice" w:cs="ABBvoice"/>
          <w:sz w:val="19"/>
          <w:szCs w:val="19"/>
        </w:rPr>
        <w:t>l</w:t>
      </w:r>
      <w:r w:rsidRPr="00D959C2">
        <w:rPr>
          <w:rFonts w:ascii="ABBvoice" w:hAnsi="ABBvoice" w:cs="ABBvoice"/>
          <w:sz w:val="19"/>
          <w:szCs w:val="19"/>
        </w:rPr>
        <w:t>uminaires section of this specification</w:t>
      </w:r>
      <w:r>
        <w:rPr>
          <w:rFonts w:ascii="ABBvoice" w:hAnsi="ABBvoice" w:cs="ABBvoice"/>
          <w:sz w:val="19"/>
          <w:szCs w:val="19"/>
        </w:rPr>
        <w:t>.</w:t>
      </w:r>
    </w:p>
    <w:p w:rsidR="0004141A" w:rsidRPr="002260C2" w:rsidRDefault="002260C2" w:rsidP="008571C3">
      <w:pPr>
        <w:pStyle w:val="Heading3"/>
      </w:pPr>
      <w:r>
        <w:br w:type="column"/>
      </w:r>
      <w:r w:rsidR="0004141A" w:rsidRPr="002260C2">
        <w:lastRenderedPageBreak/>
        <w:t>Authorities</w:t>
      </w:r>
    </w:p>
    <w:p w:rsidR="0004141A" w:rsidRPr="003157D4" w:rsidRDefault="0004141A" w:rsidP="008571C3">
      <w:pPr>
        <w:pStyle w:val="Subheading"/>
      </w:pPr>
      <w:r w:rsidRPr="003157D4">
        <w:t>Requirement</w:t>
      </w:r>
    </w:p>
    <w:p w:rsidR="0004141A" w:rsidRPr="003157D4" w:rsidRDefault="0004141A" w:rsidP="0004141A">
      <w:pPr>
        <w:rPr>
          <w:rFonts w:cstheme="minorHAnsi"/>
          <w:sz w:val="19"/>
          <w:szCs w:val="19"/>
        </w:rPr>
      </w:pPr>
      <w:r w:rsidRPr="003157D4">
        <w:rPr>
          <w:rFonts w:cstheme="minorHAnsi"/>
          <w:sz w:val="19"/>
          <w:szCs w:val="19"/>
        </w:rPr>
        <w:t>Comply with requirements of:</w:t>
      </w:r>
    </w:p>
    <w:p w:rsidR="0004141A" w:rsidRPr="003157D4" w:rsidRDefault="0004141A" w:rsidP="0004141A">
      <w:pPr>
        <w:pStyle w:val="ListParagraph"/>
        <w:numPr>
          <w:ilvl w:val="0"/>
          <w:numId w:val="9"/>
        </w:numPr>
        <w:rPr>
          <w:rFonts w:cstheme="minorHAnsi"/>
          <w:sz w:val="19"/>
          <w:szCs w:val="19"/>
        </w:rPr>
      </w:pPr>
      <w:r w:rsidRPr="003157D4">
        <w:rPr>
          <w:rFonts w:cstheme="minorHAnsi"/>
          <w:sz w:val="19"/>
          <w:szCs w:val="19"/>
        </w:rPr>
        <w:t xml:space="preserve">Building </w:t>
      </w:r>
      <w:r w:rsidR="000F6B8E">
        <w:rPr>
          <w:rFonts w:cstheme="minorHAnsi"/>
          <w:sz w:val="19"/>
          <w:szCs w:val="19"/>
        </w:rPr>
        <w:t>C</w:t>
      </w:r>
      <w:r w:rsidRPr="003157D4">
        <w:rPr>
          <w:rFonts w:cstheme="minorHAnsi"/>
          <w:sz w:val="19"/>
          <w:szCs w:val="19"/>
        </w:rPr>
        <w:t>ode of Australia</w:t>
      </w:r>
    </w:p>
    <w:p w:rsidR="0004141A" w:rsidRPr="003157D4" w:rsidRDefault="0004141A" w:rsidP="0004141A">
      <w:pPr>
        <w:pStyle w:val="ListParagraph"/>
        <w:numPr>
          <w:ilvl w:val="0"/>
          <w:numId w:val="9"/>
        </w:numPr>
        <w:rPr>
          <w:rFonts w:cstheme="minorHAnsi"/>
          <w:sz w:val="19"/>
          <w:szCs w:val="19"/>
        </w:rPr>
      </w:pPr>
      <w:r w:rsidRPr="003157D4">
        <w:rPr>
          <w:rFonts w:cstheme="minorHAnsi"/>
          <w:sz w:val="19"/>
          <w:szCs w:val="19"/>
        </w:rPr>
        <w:t xml:space="preserve">National </w:t>
      </w:r>
      <w:r w:rsidR="000F6B8E">
        <w:rPr>
          <w:rFonts w:cstheme="minorHAnsi"/>
          <w:sz w:val="19"/>
          <w:szCs w:val="19"/>
        </w:rPr>
        <w:t>C</w:t>
      </w:r>
      <w:r w:rsidRPr="003157D4">
        <w:rPr>
          <w:rFonts w:cstheme="minorHAnsi"/>
          <w:sz w:val="19"/>
          <w:szCs w:val="19"/>
        </w:rPr>
        <w:t xml:space="preserve">onstruction </w:t>
      </w:r>
      <w:r w:rsidR="000F6B8E">
        <w:rPr>
          <w:rFonts w:cstheme="minorHAnsi"/>
          <w:sz w:val="19"/>
          <w:szCs w:val="19"/>
        </w:rPr>
        <w:t>C</w:t>
      </w:r>
      <w:r w:rsidRPr="003157D4">
        <w:rPr>
          <w:rFonts w:cstheme="minorHAnsi"/>
          <w:sz w:val="19"/>
          <w:szCs w:val="19"/>
        </w:rPr>
        <w:t>ode of Australia</w:t>
      </w:r>
    </w:p>
    <w:p w:rsidR="0004141A" w:rsidRPr="003157D4" w:rsidRDefault="0004141A" w:rsidP="0004141A">
      <w:pPr>
        <w:pStyle w:val="ListParagraph"/>
        <w:numPr>
          <w:ilvl w:val="0"/>
          <w:numId w:val="9"/>
        </w:numPr>
        <w:rPr>
          <w:rFonts w:cstheme="minorHAnsi"/>
          <w:sz w:val="19"/>
          <w:szCs w:val="19"/>
        </w:rPr>
      </w:pPr>
      <w:r w:rsidRPr="003157D4">
        <w:rPr>
          <w:rFonts w:cstheme="minorHAnsi"/>
          <w:sz w:val="19"/>
          <w:szCs w:val="19"/>
        </w:rPr>
        <w:t xml:space="preserve">Applicable </w:t>
      </w:r>
      <w:r w:rsidR="000F6B8E">
        <w:rPr>
          <w:rFonts w:cstheme="minorHAnsi"/>
          <w:sz w:val="19"/>
          <w:szCs w:val="19"/>
        </w:rPr>
        <w:t>L</w:t>
      </w:r>
      <w:r w:rsidRPr="003157D4">
        <w:rPr>
          <w:rFonts w:cstheme="minorHAnsi"/>
          <w:sz w:val="19"/>
          <w:szCs w:val="19"/>
        </w:rPr>
        <w:t xml:space="preserve">ocal </w:t>
      </w:r>
      <w:r w:rsidR="000F6B8E">
        <w:rPr>
          <w:rFonts w:cstheme="minorHAnsi"/>
          <w:sz w:val="19"/>
          <w:szCs w:val="19"/>
        </w:rPr>
        <w:t>G</w:t>
      </w:r>
      <w:r w:rsidRPr="003157D4">
        <w:rPr>
          <w:rFonts w:cstheme="minorHAnsi"/>
          <w:sz w:val="19"/>
          <w:szCs w:val="19"/>
        </w:rPr>
        <w:t xml:space="preserve">overnment </w:t>
      </w:r>
      <w:r w:rsidR="000F6B8E">
        <w:rPr>
          <w:rFonts w:cstheme="minorHAnsi"/>
          <w:sz w:val="19"/>
          <w:szCs w:val="19"/>
        </w:rPr>
        <w:t>A</w:t>
      </w:r>
      <w:r w:rsidRPr="003157D4">
        <w:rPr>
          <w:rFonts w:cstheme="minorHAnsi"/>
          <w:sz w:val="19"/>
          <w:szCs w:val="19"/>
        </w:rPr>
        <w:t>uthority</w:t>
      </w:r>
    </w:p>
    <w:p w:rsidR="0004141A" w:rsidRDefault="00544257" w:rsidP="008571C3">
      <w:pPr>
        <w:pStyle w:val="Heading3"/>
      </w:pPr>
      <w:r>
        <w:t>DALI emergency and exit lighting</w:t>
      </w:r>
    </w:p>
    <w:p w:rsidR="00544257" w:rsidRPr="00544257" w:rsidRDefault="00544257" w:rsidP="00544257">
      <w:pPr>
        <w:rPr>
          <w:rFonts w:ascii="ABBvoice" w:hAnsi="ABBvoice" w:cs="ABBvoice"/>
          <w:sz w:val="19"/>
          <w:szCs w:val="19"/>
        </w:rPr>
      </w:pPr>
      <w:r>
        <w:rPr>
          <w:rFonts w:ascii="ABBvoice" w:hAnsi="ABBvoice" w:cs="ABBvoice"/>
          <w:sz w:val="19"/>
          <w:szCs w:val="19"/>
        </w:rPr>
        <w:t>Provide ABB Stanilite DALI emergency and e</w:t>
      </w:r>
      <w:r w:rsidRPr="00544257">
        <w:rPr>
          <w:rFonts w:ascii="ABBvoice" w:hAnsi="ABBvoice" w:cs="ABBvoice"/>
          <w:sz w:val="19"/>
          <w:szCs w:val="19"/>
        </w:rPr>
        <w:t xml:space="preserve">xit lighting that is certified DALI </w:t>
      </w:r>
      <w:r>
        <w:rPr>
          <w:rFonts w:ascii="ABBvoice" w:hAnsi="ABBvoice" w:cs="ABBvoice"/>
          <w:sz w:val="19"/>
          <w:szCs w:val="19"/>
        </w:rPr>
        <w:t>c</w:t>
      </w:r>
      <w:r w:rsidRPr="00544257">
        <w:rPr>
          <w:rFonts w:ascii="ABBvoice" w:hAnsi="ABBvoice" w:cs="ABBvoice"/>
          <w:sz w:val="19"/>
          <w:szCs w:val="19"/>
        </w:rPr>
        <w:t>ompliant under IEC 62386 as a minimum.</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Test certificates from a registered testing laboratory recogn</w:t>
      </w:r>
      <w:r>
        <w:rPr>
          <w:rFonts w:ascii="ABBvoice" w:hAnsi="ABBvoice" w:cs="ABBvoice"/>
          <w:sz w:val="19"/>
          <w:szCs w:val="19"/>
        </w:rPr>
        <w:t>is</w:t>
      </w:r>
      <w:r w:rsidRPr="00544257">
        <w:rPr>
          <w:rFonts w:ascii="ABBvoice" w:hAnsi="ABBvoice" w:cs="ABBvoice"/>
          <w:sz w:val="19"/>
          <w:szCs w:val="19"/>
        </w:rPr>
        <w:t xml:space="preserve">ed by the Digital Illumination Interface Alliance must be provided to confirm DALI </w:t>
      </w:r>
      <w:r>
        <w:rPr>
          <w:rFonts w:ascii="ABBvoice" w:hAnsi="ABBvoice" w:cs="ABBvoice"/>
          <w:sz w:val="19"/>
          <w:szCs w:val="19"/>
        </w:rPr>
        <w:t>c</w:t>
      </w:r>
      <w:r w:rsidRPr="00544257">
        <w:rPr>
          <w:rFonts w:ascii="ABBvoice" w:hAnsi="ABBvoice" w:cs="ABBvoice"/>
          <w:sz w:val="19"/>
          <w:szCs w:val="19"/>
        </w:rPr>
        <w:t>ompliance.</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 xml:space="preserve">Each </w:t>
      </w:r>
      <w:r>
        <w:rPr>
          <w:rFonts w:ascii="ABBvoice" w:hAnsi="ABBvoice" w:cs="ABBvoice"/>
          <w:sz w:val="19"/>
          <w:szCs w:val="19"/>
        </w:rPr>
        <w:t>e</w:t>
      </w:r>
      <w:r w:rsidRPr="00544257">
        <w:rPr>
          <w:rFonts w:ascii="ABBvoice" w:hAnsi="ABBvoice" w:cs="ABBvoice"/>
          <w:sz w:val="19"/>
          <w:szCs w:val="19"/>
        </w:rPr>
        <w:t xml:space="preserve">xit and </w:t>
      </w:r>
      <w:r>
        <w:rPr>
          <w:rFonts w:ascii="ABBvoice" w:hAnsi="ABBvoice" w:cs="ABBvoice"/>
          <w:sz w:val="19"/>
          <w:szCs w:val="19"/>
        </w:rPr>
        <w:t>e</w:t>
      </w:r>
      <w:r w:rsidRPr="00544257">
        <w:rPr>
          <w:rFonts w:ascii="ABBvoice" w:hAnsi="ABBvoice" w:cs="ABBvoice"/>
          <w:sz w:val="19"/>
          <w:szCs w:val="19"/>
        </w:rPr>
        <w:t xml:space="preserve">mergency luminaire must be fitted with the DALI </w:t>
      </w:r>
      <w:r>
        <w:rPr>
          <w:rFonts w:ascii="ABBvoice" w:hAnsi="ABBvoice" w:cs="ABBvoice"/>
          <w:sz w:val="19"/>
          <w:szCs w:val="19"/>
        </w:rPr>
        <w:t>l</w:t>
      </w:r>
      <w:r w:rsidRPr="00544257">
        <w:rPr>
          <w:rFonts w:ascii="ABBvoice" w:hAnsi="ABBvoice" w:cs="ABBvoice"/>
          <w:sz w:val="19"/>
          <w:szCs w:val="19"/>
        </w:rPr>
        <w:t xml:space="preserve">ogo to confirm DALI </w:t>
      </w:r>
      <w:r>
        <w:rPr>
          <w:rFonts w:ascii="ABBvoice" w:hAnsi="ABBvoice" w:cs="ABBvoice"/>
          <w:sz w:val="19"/>
          <w:szCs w:val="19"/>
        </w:rPr>
        <w:t>c</w:t>
      </w:r>
      <w:r w:rsidRPr="00544257">
        <w:rPr>
          <w:rFonts w:ascii="ABBvoice" w:hAnsi="ABBvoice" w:cs="ABBvoice"/>
          <w:sz w:val="19"/>
          <w:szCs w:val="19"/>
        </w:rPr>
        <w:t>ompliance.</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 xml:space="preserve">DALI </w:t>
      </w:r>
      <w:r>
        <w:rPr>
          <w:rFonts w:ascii="ABBvoice" w:hAnsi="ABBvoice" w:cs="ABBvoice"/>
          <w:sz w:val="19"/>
          <w:szCs w:val="19"/>
        </w:rPr>
        <w:t>c</w:t>
      </w:r>
      <w:r w:rsidRPr="00544257">
        <w:rPr>
          <w:rFonts w:ascii="ABBvoice" w:hAnsi="ABBvoice" w:cs="ABBvoice"/>
          <w:sz w:val="19"/>
          <w:szCs w:val="19"/>
        </w:rPr>
        <w:t xml:space="preserve">ompatible </w:t>
      </w:r>
      <w:r>
        <w:rPr>
          <w:rFonts w:ascii="ABBvoice" w:hAnsi="ABBvoice" w:cs="ABBvoice"/>
          <w:sz w:val="19"/>
          <w:szCs w:val="19"/>
        </w:rPr>
        <w:t>e</w:t>
      </w:r>
      <w:r w:rsidRPr="00544257">
        <w:rPr>
          <w:rFonts w:ascii="ABBvoice" w:hAnsi="ABBvoice" w:cs="ABBvoice"/>
          <w:sz w:val="19"/>
          <w:szCs w:val="19"/>
        </w:rPr>
        <w:t xml:space="preserve">mergency and </w:t>
      </w:r>
      <w:r>
        <w:rPr>
          <w:rFonts w:ascii="ABBvoice" w:hAnsi="ABBvoice" w:cs="ABBvoice"/>
          <w:sz w:val="19"/>
          <w:szCs w:val="19"/>
        </w:rPr>
        <w:t>e</w:t>
      </w:r>
      <w:r w:rsidRPr="00544257">
        <w:rPr>
          <w:rFonts w:ascii="ABBvoice" w:hAnsi="ABBvoice" w:cs="ABBvoice"/>
          <w:sz w:val="19"/>
          <w:szCs w:val="19"/>
        </w:rPr>
        <w:t xml:space="preserve">xit </w:t>
      </w:r>
      <w:r>
        <w:rPr>
          <w:rFonts w:ascii="ABBvoice" w:hAnsi="ABBvoice" w:cs="ABBvoice"/>
          <w:sz w:val="19"/>
          <w:szCs w:val="19"/>
        </w:rPr>
        <w:t>l</w:t>
      </w:r>
      <w:r w:rsidRPr="00544257">
        <w:rPr>
          <w:rFonts w:ascii="ABBvoice" w:hAnsi="ABBvoice" w:cs="ABBvoice"/>
          <w:sz w:val="19"/>
          <w:szCs w:val="19"/>
        </w:rPr>
        <w:t>ighting will not be accepted.</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Provide luminaires supplied and installed to comply with AS/NZS 2293 and AS/NZS 3000 with the following:</w:t>
      </w:r>
    </w:p>
    <w:p w:rsidR="00544257" w:rsidRPr="00544257" w:rsidRDefault="00544257" w:rsidP="00544257">
      <w:pPr>
        <w:pStyle w:val="ListParagraph"/>
        <w:numPr>
          <w:ilvl w:val="0"/>
          <w:numId w:val="10"/>
        </w:numPr>
        <w:rPr>
          <w:rFonts w:ascii="ABBvoice" w:hAnsi="ABBvoice" w:cs="ABBvoice"/>
          <w:sz w:val="19"/>
          <w:szCs w:val="19"/>
        </w:rPr>
      </w:pPr>
      <w:r w:rsidRPr="00544257">
        <w:rPr>
          <w:rFonts w:ascii="ABBvoice" w:hAnsi="ABBvoice" w:cs="ABBvoice"/>
          <w:sz w:val="19"/>
          <w:szCs w:val="19"/>
        </w:rPr>
        <w:t>Emergency lighting C0 and C90 classification</w:t>
      </w:r>
    </w:p>
    <w:p w:rsidR="00544257" w:rsidRPr="00544257" w:rsidRDefault="00544257" w:rsidP="00544257">
      <w:pPr>
        <w:pStyle w:val="ListParagraph"/>
        <w:numPr>
          <w:ilvl w:val="0"/>
          <w:numId w:val="10"/>
        </w:numPr>
        <w:rPr>
          <w:rFonts w:ascii="ABBvoice" w:hAnsi="ABBvoice" w:cs="ABBvoice"/>
          <w:sz w:val="19"/>
          <w:szCs w:val="19"/>
        </w:rPr>
      </w:pPr>
      <w:r w:rsidRPr="00544257">
        <w:rPr>
          <w:rFonts w:ascii="ABBvoice" w:hAnsi="ABBvoice" w:cs="ABBvoice"/>
          <w:sz w:val="19"/>
          <w:szCs w:val="19"/>
        </w:rPr>
        <w:t xml:space="preserve">EMC </w:t>
      </w:r>
      <w:r>
        <w:rPr>
          <w:rFonts w:ascii="ABBvoice" w:hAnsi="ABBvoice" w:cs="ABBvoice"/>
          <w:sz w:val="19"/>
          <w:szCs w:val="19"/>
        </w:rPr>
        <w:t>t</w:t>
      </w:r>
      <w:r w:rsidRPr="00544257">
        <w:rPr>
          <w:rFonts w:ascii="ABBvoice" w:hAnsi="ABBvoice" w:cs="ABBvoice"/>
          <w:sz w:val="19"/>
          <w:szCs w:val="19"/>
        </w:rPr>
        <w:t xml:space="preserve">est </w:t>
      </w:r>
      <w:r>
        <w:rPr>
          <w:rFonts w:ascii="ABBvoice" w:hAnsi="ABBvoice" w:cs="ABBvoice"/>
          <w:sz w:val="19"/>
          <w:szCs w:val="19"/>
        </w:rPr>
        <w:t>r</w:t>
      </w:r>
      <w:r w:rsidRPr="00544257">
        <w:rPr>
          <w:rFonts w:ascii="ABBvoice" w:hAnsi="ABBvoice" w:cs="ABBvoice"/>
          <w:sz w:val="19"/>
          <w:szCs w:val="19"/>
        </w:rPr>
        <w:t>esults</w:t>
      </w:r>
    </w:p>
    <w:p w:rsidR="00544257" w:rsidRPr="00544257" w:rsidRDefault="00544257" w:rsidP="00544257">
      <w:pPr>
        <w:pStyle w:val="ListParagraph"/>
        <w:numPr>
          <w:ilvl w:val="0"/>
          <w:numId w:val="10"/>
        </w:numPr>
        <w:rPr>
          <w:rFonts w:ascii="ABBvoice" w:hAnsi="ABBvoice" w:cs="ABBvoice"/>
          <w:sz w:val="19"/>
          <w:szCs w:val="19"/>
        </w:rPr>
      </w:pPr>
      <w:r w:rsidRPr="00544257">
        <w:rPr>
          <w:rFonts w:ascii="ABBvoice" w:hAnsi="ABBvoice" w:cs="ABBvoice"/>
          <w:sz w:val="19"/>
          <w:szCs w:val="19"/>
        </w:rPr>
        <w:t>Heat rise test results</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Each DALI luminaire shall contain a microcontroller responsible for data communications and for the control and monitoring of the emergency functions of the luminaire.</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The microcontroller in each emergency or exit luminaire shall monitor the following:</w:t>
      </w:r>
    </w:p>
    <w:p w:rsidR="00544257" w:rsidRPr="00544257" w:rsidRDefault="004D0CF2" w:rsidP="00544257">
      <w:pPr>
        <w:pStyle w:val="ListParagraph"/>
        <w:numPr>
          <w:ilvl w:val="0"/>
          <w:numId w:val="11"/>
        </w:numPr>
        <w:rPr>
          <w:rFonts w:ascii="ABBvoice" w:hAnsi="ABBvoice" w:cs="ABBvoice"/>
          <w:sz w:val="19"/>
          <w:szCs w:val="19"/>
        </w:rPr>
      </w:pPr>
      <w:r>
        <w:rPr>
          <w:rFonts w:ascii="ABBvoice" w:hAnsi="ABBvoice" w:cs="ABBvoice"/>
          <w:sz w:val="19"/>
          <w:szCs w:val="19"/>
        </w:rPr>
        <w:t>Emergency t</w:t>
      </w:r>
      <w:r w:rsidR="00544257" w:rsidRPr="00544257">
        <w:rPr>
          <w:rFonts w:ascii="ABBvoice" w:hAnsi="ABBvoice" w:cs="ABBvoice"/>
          <w:sz w:val="19"/>
          <w:szCs w:val="19"/>
        </w:rPr>
        <w:t xml:space="preserve">est </w:t>
      </w:r>
      <w:r>
        <w:rPr>
          <w:rFonts w:ascii="ABBvoice" w:hAnsi="ABBvoice" w:cs="ABBvoice"/>
          <w:sz w:val="19"/>
          <w:szCs w:val="19"/>
        </w:rPr>
        <w:t>b</w:t>
      </w:r>
      <w:r w:rsidR="00544257" w:rsidRPr="00544257">
        <w:rPr>
          <w:rFonts w:ascii="ABBvoice" w:hAnsi="ABBvoice" w:cs="ABBvoice"/>
          <w:sz w:val="19"/>
          <w:szCs w:val="19"/>
        </w:rPr>
        <w:t>utton</w:t>
      </w:r>
    </w:p>
    <w:p w:rsidR="00544257" w:rsidRPr="00544257" w:rsidRDefault="00544257" w:rsidP="00544257">
      <w:pPr>
        <w:pStyle w:val="ListParagraph"/>
        <w:numPr>
          <w:ilvl w:val="0"/>
          <w:numId w:val="11"/>
        </w:numPr>
        <w:rPr>
          <w:rFonts w:ascii="ABBvoice" w:hAnsi="ABBvoice" w:cs="ABBvoice"/>
          <w:sz w:val="19"/>
          <w:szCs w:val="19"/>
        </w:rPr>
      </w:pPr>
      <w:r w:rsidRPr="00544257">
        <w:rPr>
          <w:rFonts w:ascii="ABBvoice" w:hAnsi="ABBvoice" w:cs="ABBvoice"/>
          <w:sz w:val="19"/>
          <w:szCs w:val="19"/>
        </w:rPr>
        <w:t>Switched active mains supply</w:t>
      </w:r>
    </w:p>
    <w:p w:rsidR="00544257" w:rsidRPr="00544257" w:rsidRDefault="00544257" w:rsidP="00544257">
      <w:pPr>
        <w:pStyle w:val="ListParagraph"/>
        <w:numPr>
          <w:ilvl w:val="0"/>
          <w:numId w:val="11"/>
        </w:numPr>
        <w:rPr>
          <w:rFonts w:ascii="ABBvoice" w:hAnsi="ABBvoice" w:cs="ABBvoice"/>
          <w:sz w:val="19"/>
          <w:szCs w:val="19"/>
        </w:rPr>
      </w:pPr>
      <w:r w:rsidRPr="00544257">
        <w:rPr>
          <w:rFonts w:ascii="ABBvoice" w:hAnsi="ABBvoice" w:cs="ABBvoice"/>
          <w:sz w:val="19"/>
          <w:szCs w:val="19"/>
        </w:rPr>
        <w:t xml:space="preserve">Emergency </w:t>
      </w:r>
      <w:r w:rsidR="004D0CF2">
        <w:rPr>
          <w:rFonts w:ascii="ABBvoice" w:hAnsi="ABBvoice" w:cs="ABBvoice"/>
          <w:sz w:val="19"/>
          <w:szCs w:val="19"/>
        </w:rPr>
        <w:t>l</w:t>
      </w:r>
      <w:r w:rsidRPr="00544257">
        <w:rPr>
          <w:rFonts w:ascii="ABBvoice" w:hAnsi="ABBvoice" w:cs="ABBvoice"/>
          <w:sz w:val="19"/>
          <w:szCs w:val="19"/>
        </w:rPr>
        <w:t>amp current</w:t>
      </w:r>
    </w:p>
    <w:p w:rsidR="00544257" w:rsidRPr="00544257" w:rsidRDefault="00544257" w:rsidP="00544257">
      <w:pPr>
        <w:pStyle w:val="ListParagraph"/>
        <w:numPr>
          <w:ilvl w:val="0"/>
          <w:numId w:val="11"/>
        </w:numPr>
        <w:rPr>
          <w:rFonts w:ascii="ABBvoice" w:hAnsi="ABBvoice" w:cs="ABBvoice"/>
          <w:sz w:val="19"/>
          <w:szCs w:val="19"/>
        </w:rPr>
      </w:pPr>
      <w:r w:rsidRPr="00544257">
        <w:rPr>
          <w:rFonts w:ascii="ABBvoice" w:hAnsi="ABBvoice" w:cs="ABBvoice"/>
          <w:sz w:val="19"/>
          <w:szCs w:val="19"/>
        </w:rPr>
        <w:t>Emergency lamp light output</w:t>
      </w:r>
    </w:p>
    <w:p w:rsidR="00544257" w:rsidRPr="00544257" w:rsidRDefault="00544257" w:rsidP="00544257">
      <w:pPr>
        <w:pStyle w:val="ListParagraph"/>
        <w:numPr>
          <w:ilvl w:val="0"/>
          <w:numId w:val="11"/>
        </w:numPr>
        <w:rPr>
          <w:rFonts w:ascii="ABBvoice" w:hAnsi="ABBvoice" w:cs="ABBvoice"/>
          <w:sz w:val="19"/>
          <w:szCs w:val="19"/>
        </w:rPr>
      </w:pPr>
      <w:r w:rsidRPr="00544257">
        <w:rPr>
          <w:rFonts w:ascii="ABBvoice" w:hAnsi="ABBvoice" w:cs="ABBvoice"/>
          <w:sz w:val="19"/>
          <w:szCs w:val="19"/>
        </w:rPr>
        <w:t>Mains lamp light output</w:t>
      </w:r>
    </w:p>
    <w:p w:rsidR="00544257" w:rsidRPr="00544257" w:rsidRDefault="00544257" w:rsidP="00544257">
      <w:pPr>
        <w:pStyle w:val="ListParagraph"/>
        <w:numPr>
          <w:ilvl w:val="0"/>
          <w:numId w:val="11"/>
        </w:numPr>
        <w:rPr>
          <w:rFonts w:ascii="ABBvoice" w:hAnsi="ABBvoice" w:cs="ABBvoice"/>
          <w:sz w:val="19"/>
          <w:szCs w:val="19"/>
        </w:rPr>
      </w:pPr>
      <w:r w:rsidRPr="00544257">
        <w:rPr>
          <w:rFonts w:ascii="ABBvoice" w:hAnsi="ABBvoice" w:cs="ABBvoice"/>
          <w:sz w:val="19"/>
          <w:szCs w:val="19"/>
        </w:rPr>
        <w:t>Emergency inverter or power supply</w:t>
      </w:r>
    </w:p>
    <w:p w:rsidR="00544257" w:rsidRPr="00544257" w:rsidRDefault="00544257" w:rsidP="00544257">
      <w:pPr>
        <w:pStyle w:val="ListParagraph"/>
        <w:numPr>
          <w:ilvl w:val="0"/>
          <w:numId w:val="11"/>
        </w:numPr>
        <w:rPr>
          <w:rFonts w:ascii="ABBvoice" w:hAnsi="ABBvoice" w:cs="ABBvoice"/>
          <w:sz w:val="19"/>
          <w:szCs w:val="19"/>
        </w:rPr>
      </w:pPr>
      <w:r w:rsidRPr="00544257">
        <w:rPr>
          <w:rFonts w:ascii="ABBvoice" w:hAnsi="ABBvoice" w:cs="ABBvoice"/>
          <w:sz w:val="19"/>
          <w:szCs w:val="19"/>
        </w:rPr>
        <w:t xml:space="preserve">Battery </w:t>
      </w:r>
      <w:r w:rsidR="004D0CF2">
        <w:rPr>
          <w:rFonts w:ascii="ABBvoice" w:hAnsi="ABBvoice" w:cs="ABBvoice"/>
          <w:sz w:val="19"/>
          <w:szCs w:val="19"/>
        </w:rPr>
        <w:t>c</w:t>
      </w:r>
      <w:r w:rsidRPr="00544257">
        <w:rPr>
          <w:rFonts w:ascii="ABBvoice" w:hAnsi="ABBvoice" w:cs="ABBvoice"/>
          <w:sz w:val="19"/>
          <w:szCs w:val="19"/>
        </w:rPr>
        <w:t>harging</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 xml:space="preserve">The microcontroller in each emergency luminaire shall be able to disconnect the emergency unit from the mains supply to test the emergency operation of the unit in the event of power failure.  </w:t>
      </w:r>
    </w:p>
    <w:p w:rsidR="00544257" w:rsidRPr="00544257" w:rsidRDefault="00544257" w:rsidP="00544257">
      <w:pPr>
        <w:rPr>
          <w:rFonts w:ascii="ABBvoice" w:hAnsi="ABBvoice" w:cs="ABBvoice"/>
          <w:b/>
          <w:sz w:val="19"/>
          <w:szCs w:val="19"/>
        </w:rPr>
      </w:pPr>
      <w:r w:rsidRPr="00544257">
        <w:rPr>
          <w:rFonts w:ascii="ABBvoice" w:hAnsi="ABBvoice" w:cs="ABBvoice"/>
          <w:b/>
          <w:sz w:val="19"/>
          <w:szCs w:val="19"/>
        </w:rPr>
        <w:t>Batteries</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 xml:space="preserve">Removable </w:t>
      </w:r>
      <w:r w:rsidR="00EB66DF">
        <w:rPr>
          <w:rFonts w:ascii="ABBvoice" w:hAnsi="ABBvoice" w:cs="ABBvoice"/>
          <w:sz w:val="19"/>
          <w:szCs w:val="19"/>
        </w:rPr>
        <w:t xml:space="preserve">ABB Stanilite Lithium </w:t>
      </w:r>
      <w:proofErr w:type="spellStart"/>
      <w:r w:rsidR="00EB66DF">
        <w:rPr>
          <w:rFonts w:ascii="ABBvoice" w:hAnsi="ABBvoice" w:cs="ABBvoice"/>
          <w:sz w:val="19"/>
          <w:szCs w:val="19"/>
        </w:rPr>
        <w:t>i</w:t>
      </w:r>
      <w:r w:rsidRPr="00544257">
        <w:rPr>
          <w:rFonts w:ascii="ABBvoice" w:hAnsi="ABBvoice" w:cs="ABBvoice"/>
          <w:sz w:val="19"/>
          <w:szCs w:val="19"/>
        </w:rPr>
        <w:t>ron</w:t>
      </w:r>
      <w:proofErr w:type="spellEnd"/>
      <w:r w:rsidRPr="00544257">
        <w:rPr>
          <w:rFonts w:ascii="ABBvoice" w:hAnsi="ABBvoice" w:cs="ABBvoice"/>
          <w:sz w:val="19"/>
          <w:szCs w:val="19"/>
        </w:rPr>
        <w:t xml:space="preserve"> Li</w:t>
      </w:r>
      <w:r w:rsidR="00946041">
        <w:rPr>
          <w:rFonts w:ascii="ABBvoice" w:hAnsi="ABBvoice" w:cs="ABBvoice"/>
          <w:sz w:val="19"/>
          <w:szCs w:val="19"/>
        </w:rPr>
        <w:t>F</w:t>
      </w:r>
      <w:r w:rsidRPr="00544257">
        <w:rPr>
          <w:rFonts w:ascii="ABBvoice" w:hAnsi="ABBvoice" w:cs="ABBvoice"/>
          <w:sz w:val="19"/>
          <w:szCs w:val="19"/>
        </w:rPr>
        <w:t>ePO4 single cell batteries are to be used in all luminaries.</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 xml:space="preserve">Batteries shall be suitably located away from heat sources such as transformers, ballasts and lamps </w:t>
      </w:r>
      <w:proofErr w:type="gramStart"/>
      <w:r w:rsidRPr="00544257">
        <w:rPr>
          <w:rFonts w:ascii="ABBvoice" w:hAnsi="ABBvoice" w:cs="ABBvoice"/>
          <w:sz w:val="19"/>
          <w:szCs w:val="19"/>
        </w:rPr>
        <w:t>in order to</w:t>
      </w:r>
      <w:proofErr w:type="gramEnd"/>
      <w:r w:rsidRPr="00544257">
        <w:rPr>
          <w:rFonts w:ascii="ABBvoice" w:hAnsi="ABBvoice" w:cs="ABBvoice"/>
          <w:sz w:val="19"/>
          <w:szCs w:val="19"/>
        </w:rPr>
        <w:t xml:space="preserve"> achieve optimum battery life.  Batteries shall be securely fastened using purpose made clamps, incorporated into the battery pack or luminaire body. Battery connection shall be by quick connect tabs and receptacle connectors.</w:t>
      </w:r>
    </w:p>
    <w:p w:rsidR="00544257" w:rsidRPr="00544257" w:rsidRDefault="00544257" w:rsidP="00544257">
      <w:pPr>
        <w:rPr>
          <w:rFonts w:ascii="ABBvoice" w:hAnsi="ABBvoice" w:cs="ABBvoice"/>
          <w:sz w:val="19"/>
          <w:szCs w:val="19"/>
        </w:rPr>
      </w:pPr>
      <w:r w:rsidRPr="00544257">
        <w:rPr>
          <w:rFonts w:ascii="ABBvoice" w:hAnsi="ABBvoice" w:cs="ABBvoice"/>
          <w:sz w:val="19"/>
          <w:szCs w:val="19"/>
        </w:rPr>
        <w:t xml:space="preserve">Initial </w:t>
      </w:r>
      <w:r w:rsidR="00946041">
        <w:rPr>
          <w:rFonts w:ascii="ABBvoice" w:hAnsi="ABBvoice" w:cs="ABBvoice"/>
          <w:sz w:val="19"/>
          <w:szCs w:val="19"/>
        </w:rPr>
        <w:t>e</w:t>
      </w:r>
      <w:r w:rsidRPr="00544257">
        <w:rPr>
          <w:rFonts w:ascii="ABBvoice" w:hAnsi="ABBvoice" w:cs="ABBvoice"/>
          <w:sz w:val="19"/>
          <w:szCs w:val="19"/>
        </w:rPr>
        <w:t xml:space="preserve">mergency </w:t>
      </w:r>
      <w:r w:rsidR="00946041">
        <w:rPr>
          <w:rFonts w:ascii="ABBvoice" w:hAnsi="ABBvoice" w:cs="ABBvoice"/>
          <w:sz w:val="19"/>
          <w:szCs w:val="19"/>
        </w:rPr>
        <w:t>p</w:t>
      </w:r>
      <w:r w:rsidRPr="00544257">
        <w:rPr>
          <w:rFonts w:ascii="ABBvoice" w:hAnsi="ABBvoice" w:cs="ABBvoice"/>
          <w:sz w:val="19"/>
          <w:szCs w:val="19"/>
        </w:rPr>
        <w:t>eriod:  2 hours</w:t>
      </w:r>
    </w:p>
    <w:p w:rsidR="00544257" w:rsidRPr="00544257" w:rsidRDefault="00544257" w:rsidP="00116C63">
      <w:pPr>
        <w:rPr>
          <w:sz w:val="19"/>
          <w:szCs w:val="19"/>
        </w:rPr>
      </w:pPr>
      <w:r w:rsidRPr="00544257">
        <w:rPr>
          <w:rFonts w:ascii="ABBvoice" w:hAnsi="ABBvoice" w:cs="ABBvoice"/>
          <w:sz w:val="19"/>
          <w:szCs w:val="19"/>
        </w:rPr>
        <w:t xml:space="preserve">In </w:t>
      </w:r>
      <w:r w:rsidR="00946041">
        <w:rPr>
          <w:rFonts w:ascii="ABBvoice" w:hAnsi="ABBvoice" w:cs="ABBvoice"/>
          <w:sz w:val="19"/>
          <w:szCs w:val="19"/>
        </w:rPr>
        <w:t>s</w:t>
      </w:r>
      <w:r w:rsidRPr="00544257">
        <w:rPr>
          <w:rFonts w:ascii="ABBvoice" w:hAnsi="ABBvoice" w:cs="ABBvoice"/>
          <w:sz w:val="19"/>
          <w:szCs w:val="19"/>
        </w:rPr>
        <w:t xml:space="preserve">ervice </w:t>
      </w:r>
      <w:r w:rsidR="00946041">
        <w:rPr>
          <w:rFonts w:ascii="ABBvoice" w:hAnsi="ABBvoice" w:cs="ABBvoice"/>
          <w:sz w:val="19"/>
          <w:szCs w:val="19"/>
        </w:rPr>
        <w:t>e</w:t>
      </w:r>
      <w:r w:rsidRPr="00544257">
        <w:rPr>
          <w:rFonts w:ascii="ABBvoice" w:hAnsi="ABBvoice" w:cs="ABBvoice"/>
          <w:sz w:val="19"/>
          <w:szCs w:val="19"/>
        </w:rPr>
        <w:t xml:space="preserve">mergency </w:t>
      </w:r>
      <w:r w:rsidR="00946041">
        <w:rPr>
          <w:rFonts w:ascii="ABBvoice" w:hAnsi="ABBvoice" w:cs="ABBvoice"/>
          <w:sz w:val="19"/>
          <w:szCs w:val="19"/>
        </w:rPr>
        <w:t>p</w:t>
      </w:r>
      <w:r w:rsidRPr="00544257">
        <w:rPr>
          <w:rFonts w:ascii="ABBvoice" w:hAnsi="ABBvoice" w:cs="ABBvoice"/>
          <w:sz w:val="19"/>
          <w:szCs w:val="19"/>
        </w:rPr>
        <w:t>eriod:  1.5 hours</w:t>
      </w:r>
    </w:p>
    <w:sectPr w:rsidR="00544257" w:rsidRPr="00544257" w:rsidSect="00772C6C">
      <w:headerReference w:type="default" r:id="rId8"/>
      <w:footerReference w:type="default" r:id="rId9"/>
      <w:headerReference w:type="first" r:id="rId10"/>
      <w:footerReference w:type="first" r:id="rId11"/>
      <w:endnotePr>
        <w:numFmt w:val="decimal"/>
      </w:endnotePr>
      <w:pgSz w:w="11907" w:h="16840" w:code="9"/>
      <w:pgMar w:top="1276" w:right="1276" w:bottom="1418" w:left="1276" w:header="533"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24" w:rsidRDefault="006D5224" w:rsidP="00C60D54">
      <w:pPr>
        <w:pStyle w:val="EndnoteSeparator"/>
      </w:pPr>
    </w:p>
  </w:endnote>
  <w:endnote w:type="continuationSeparator" w:id="0">
    <w:p w:rsidR="006D5224" w:rsidRDefault="006D5224" w:rsidP="00C60D54">
      <w:pPr>
        <w:pStyle w:val="EndnoteSeparatorcont"/>
      </w:pPr>
    </w:p>
  </w:endnote>
  <w:endnote w:type="continuationNotice" w:id="1">
    <w:p w:rsidR="006D5224" w:rsidRDefault="006D5224"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Bvoice">
    <w:panose1 w:val="020D0603020503020204"/>
    <w:charset w:val="00"/>
    <w:family w:val="swiss"/>
    <w:pitch w:val="variable"/>
    <w:sig w:usb0="A000006F" w:usb1="0000004B" w:usb2="00000028"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CC0" w:rsidRDefault="008C4CC0" w:rsidP="00CB4EE6">
    <w:pPr>
      <w:pStyle w:val="Footer"/>
    </w:pPr>
  </w:p>
  <w:p w:rsidR="00CB4EE6" w:rsidRDefault="00CB4EE6" w:rsidP="00CB4EE6">
    <w:pPr>
      <w:pStyle w:val="Footer"/>
    </w:pPr>
  </w:p>
  <w:tbl>
    <w:tblPr>
      <w:tblStyle w:val="ABBFooterTable"/>
      <w:tblW w:w="9351" w:type="dxa"/>
      <w:tblLayout w:type="fixed"/>
      <w:tblLook w:val="0000" w:firstRow="0" w:lastRow="0" w:firstColumn="0" w:lastColumn="0" w:noHBand="0" w:noVBand="0"/>
    </w:tblPr>
    <w:tblGrid>
      <w:gridCol w:w="2322"/>
      <w:gridCol w:w="2323"/>
      <w:gridCol w:w="2296"/>
      <w:gridCol w:w="709"/>
      <w:gridCol w:w="567"/>
      <w:gridCol w:w="1134"/>
    </w:tblGrid>
    <w:tr w:rsidR="00CB4EE6" w:rsidRPr="00CB4EE6" w:rsidTr="00010945">
      <w:tc>
        <w:tcPr>
          <w:tcW w:w="2322" w:type="dxa"/>
        </w:tcPr>
        <w:p w:rsidR="00CB4EE6" w:rsidRPr="00CB4EE6" w:rsidRDefault="00CB4EE6" w:rsidP="00CB4EE6">
          <w:pPr>
            <w:pStyle w:val="FooterTableCaption"/>
          </w:pPr>
          <w:r w:rsidRPr="00CB4EE6">
            <w:t>STATUS</w:t>
          </w:r>
        </w:p>
      </w:tc>
      <w:tc>
        <w:tcPr>
          <w:tcW w:w="2323" w:type="dxa"/>
        </w:tcPr>
        <w:p w:rsidR="00CB4EE6" w:rsidRPr="00CB4EE6" w:rsidRDefault="00CB4EE6" w:rsidP="00CB4EE6">
          <w:pPr>
            <w:pStyle w:val="FooterTableCaption"/>
          </w:pPr>
          <w:r w:rsidRPr="00CB4EE6">
            <w:t>SECURITY LEVEL</w:t>
          </w:r>
        </w:p>
      </w:tc>
      <w:tc>
        <w:tcPr>
          <w:tcW w:w="2296" w:type="dxa"/>
        </w:tcPr>
        <w:p w:rsidR="00CB4EE6" w:rsidRPr="00CB4EE6" w:rsidRDefault="00CB4EE6" w:rsidP="00CB4EE6">
          <w:pPr>
            <w:pStyle w:val="FooterTableCaption"/>
          </w:pPr>
          <w:r w:rsidRPr="00CB4EE6">
            <w:t>DOCUMENT ID.</w:t>
          </w:r>
        </w:p>
      </w:tc>
      <w:tc>
        <w:tcPr>
          <w:tcW w:w="709" w:type="dxa"/>
        </w:tcPr>
        <w:p w:rsidR="00CB4EE6" w:rsidRPr="00CB4EE6" w:rsidRDefault="00CB4EE6" w:rsidP="00CB4EE6">
          <w:pPr>
            <w:pStyle w:val="FooterTableCaption"/>
          </w:pPr>
          <w:r w:rsidRPr="00CB4EE6">
            <w:t>REV.</w:t>
          </w:r>
        </w:p>
      </w:tc>
      <w:tc>
        <w:tcPr>
          <w:tcW w:w="567" w:type="dxa"/>
        </w:tcPr>
        <w:p w:rsidR="00CB4EE6" w:rsidRPr="00CB4EE6" w:rsidRDefault="00CB4EE6" w:rsidP="00CB4EE6">
          <w:pPr>
            <w:pStyle w:val="FooterTableCaption"/>
          </w:pPr>
          <w:r w:rsidRPr="00CB4EE6">
            <w:t>LANG.</w:t>
          </w:r>
        </w:p>
      </w:tc>
      <w:tc>
        <w:tcPr>
          <w:tcW w:w="1134" w:type="dxa"/>
        </w:tcPr>
        <w:p w:rsidR="00CB4EE6" w:rsidRPr="00CB4EE6" w:rsidRDefault="00CB4EE6" w:rsidP="00CB4EE6">
          <w:pPr>
            <w:pStyle w:val="FooterTableCaption"/>
          </w:pPr>
          <w:r w:rsidRPr="00CB4EE6">
            <w:t>PAGE</w:t>
          </w:r>
        </w:p>
      </w:tc>
    </w:tr>
    <w:tr w:rsidR="00CB4EE6" w:rsidRPr="00CB4EE6" w:rsidTr="00010945">
      <w:tc>
        <w:tcPr>
          <w:tcW w:w="2322" w:type="dxa"/>
        </w:tcPr>
        <w:p w:rsidR="00CB4EE6" w:rsidRPr="00CB4EE6" w:rsidRDefault="00645D59" w:rsidP="00CB4EE6">
          <w:pPr>
            <w:pStyle w:val="FooterTableFieldText"/>
          </w:pPr>
          <w:r>
            <w:t>Published</w:t>
          </w:r>
        </w:p>
      </w:tc>
      <w:tc>
        <w:tcPr>
          <w:tcW w:w="2323" w:type="dxa"/>
        </w:tcPr>
        <w:p w:rsidR="00CB4EE6" w:rsidRPr="00CB4EE6" w:rsidRDefault="00645D59" w:rsidP="00CB4EE6">
          <w:pPr>
            <w:pStyle w:val="FooterTableFieldText"/>
          </w:pPr>
          <w:r>
            <w:t>-</w:t>
          </w:r>
        </w:p>
      </w:tc>
      <w:tc>
        <w:tcPr>
          <w:tcW w:w="2296" w:type="dxa"/>
        </w:tcPr>
        <w:p w:rsidR="00CB4EE6" w:rsidRPr="00CB4EE6" w:rsidRDefault="008571C3" w:rsidP="00CB4EE6">
          <w:pPr>
            <w:pStyle w:val="FooterTableDocumentID"/>
          </w:pPr>
          <w:r>
            <w:t>9AKK107492</w:t>
          </w:r>
          <w:r w:rsidR="00946041">
            <w:t>A2223</w:t>
          </w:r>
        </w:p>
      </w:tc>
      <w:tc>
        <w:tcPr>
          <w:tcW w:w="709" w:type="dxa"/>
        </w:tcPr>
        <w:p w:rsidR="00CB4EE6" w:rsidRPr="00CB4EE6" w:rsidRDefault="00946041" w:rsidP="00CB4EE6">
          <w:pPr>
            <w:pStyle w:val="FooterTableFieldText"/>
          </w:pPr>
          <w:r>
            <w:t>A</w:t>
          </w:r>
        </w:p>
      </w:tc>
      <w:tc>
        <w:tcPr>
          <w:tcW w:w="567" w:type="dxa"/>
        </w:tcPr>
        <w:p w:rsidR="00CB4EE6" w:rsidRPr="00CB4EE6" w:rsidRDefault="00645D59" w:rsidP="00CB4EE6">
          <w:pPr>
            <w:pStyle w:val="FooterTableFieldText"/>
          </w:pPr>
          <w:proofErr w:type="spellStart"/>
          <w:r>
            <w:t>en</w:t>
          </w:r>
          <w:proofErr w:type="spellEnd"/>
        </w:p>
      </w:tc>
      <w:tc>
        <w:tcPr>
          <w:tcW w:w="1134" w:type="dxa"/>
        </w:tcPr>
        <w:p w:rsidR="00CB4EE6" w:rsidRPr="00CB4EE6" w:rsidRDefault="00CB4EE6" w:rsidP="00CB4EE6">
          <w:pPr>
            <w:pStyle w:val="FooterTableFieldText"/>
          </w:pPr>
          <w:r w:rsidRPr="00CB4EE6">
            <w:fldChar w:fldCharType="begin"/>
          </w:r>
          <w:r w:rsidRPr="00CB4EE6">
            <w:instrText xml:space="preserve"> PAGE   \* MERGEFORMAT </w:instrText>
          </w:r>
          <w:r w:rsidRPr="00CB4EE6">
            <w:fldChar w:fldCharType="separate"/>
          </w:r>
          <w:r w:rsidRPr="00CB4EE6">
            <w:t>1</w:t>
          </w:r>
          <w:r w:rsidRPr="00CB4EE6">
            <w:fldChar w:fldCharType="end"/>
          </w:r>
          <w:r w:rsidRPr="00CB4EE6">
            <w:t>/</w:t>
          </w:r>
          <w:fldSimple w:instr=" NUMPAGES   \* MERGEFORMAT ">
            <w:r w:rsidRPr="00CB4EE6">
              <w:t>2</w:t>
            </w:r>
          </w:fldSimple>
        </w:p>
      </w:tc>
    </w:tr>
    <w:tr w:rsidR="00CB4EE6" w:rsidRPr="00CB4EE6" w:rsidTr="00010945">
      <w:tc>
        <w:tcPr>
          <w:tcW w:w="9351" w:type="dxa"/>
          <w:gridSpan w:val="6"/>
        </w:tcPr>
        <w:p w:rsidR="00CB4EE6" w:rsidRPr="00CB4EE6" w:rsidRDefault="00CB4EE6" w:rsidP="00CB4EE6">
          <w:pPr>
            <w:pStyle w:val="FooterTableCopyright"/>
          </w:pPr>
          <w:r w:rsidRPr="00CB4EE6">
            <w:t>© Copyright</w:t>
          </w:r>
          <w:r w:rsidR="00645D59">
            <w:t xml:space="preserve"> 2019</w:t>
          </w:r>
          <w:r w:rsidRPr="00CB4EE6">
            <w:t xml:space="preserve"> ABB. All rights reserved.</w:t>
          </w:r>
        </w:p>
      </w:tc>
    </w:tr>
  </w:tbl>
  <w:p w:rsidR="00CB4EE6" w:rsidRPr="008C4CC0" w:rsidRDefault="00CB4EE6" w:rsidP="00CB4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CC0" w:rsidRDefault="008C4CC0" w:rsidP="00CB4EE6">
    <w:pPr>
      <w:pStyle w:val="Footer"/>
    </w:pPr>
  </w:p>
  <w:p w:rsidR="00CB4EE6" w:rsidRDefault="00CB4EE6" w:rsidP="00CB4EE6">
    <w:pPr>
      <w:pStyle w:val="Footer"/>
    </w:pPr>
  </w:p>
  <w:tbl>
    <w:tblPr>
      <w:tblStyle w:val="ABBFooterTable"/>
      <w:tblW w:w="9333" w:type="dxa"/>
      <w:tblLayout w:type="fixed"/>
      <w:tblLook w:val="0000" w:firstRow="0" w:lastRow="0" w:firstColumn="0" w:lastColumn="0" w:noHBand="0" w:noVBand="0"/>
    </w:tblPr>
    <w:tblGrid>
      <w:gridCol w:w="1272"/>
      <w:gridCol w:w="3373"/>
      <w:gridCol w:w="2296"/>
      <w:gridCol w:w="48"/>
      <w:gridCol w:w="661"/>
      <w:gridCol w:w="567"/>
      <w:gridCol w:w="1116"/>
    </w:tblGrid>
    <w:tr w:rsidR="00CB4EE6" w:rsidRPr="00CB4EE6" w:rsidTr="00930592">
      <w:tc>
        <w:tcPr>
          <w:tcW w:w="4645" w:type="dxa"/>
          <w:gridSpan w:val="2"/>
        </w:tcPr>
        <w:p w:rsidR="00CB4EE6" w:rsidRPr="00CB4EE6" w:rsidRDefault="00CB4EE6" w:rsidP="00CB4EE6">
          <w:pPr>
            <w:pStyle w:val="FooterTableCaption"/>
          </w:pPr>
          <w:r w:rsidRPr="00CB4EE6">
            <w:t>PREPARED</w:t>
          </w:r>
        </w:p>
      </w:tc>
      <w:tc>
        <w:tcPr>
          <w:tcW w:w="2344" w:type="dxa"/>
          <w:gridSpan w:val="2"/>
        </w:tcPr>
        <w:p w:rsidR="00CB4EE6" w:rsidRPr="00CB4EE6" w:rsidRDefault="00CB4EE6" w:rsidP="00CB4EE6">
          <w:pPr>
            <w:pStyle w:val="FooterTableCaption"/>
          </w:pPr>
          <w:r w:rsidRPr="00CB4EE6">
            <w:t>STATUS</w:t>
          </w:r>
        </w:p>
      </w:tc>
      <w:tc>
        <w:tcPr>
          <w:tcW w:w="2344" w:type="dxa"/>
          <w:gridSpan w:val="3"/>
        </w:tcPr>
        <w:p w:rsidR="00CB4EE6" w:rsidRPr="00CB4EE6" w:rsidRDefault="00CB4EE6" w:rsidP="00CB4EE6">
          <w:pPr>
            <w:pStyle w:val="FooterTableCaption"/>
          </w:pPr>
          <w:r w:rsidRPr="00CB4EE6">
            <w:t>SECURITY LEVEL</w:t>
          </w:r>
        </w:p>
      </w:tc>
    </w:tr>
    <w:tr w:rsidR="00CB4EE6" w:rsidRPr="00CB4EE6" w:rsidTr="00930592">
      <w:tc>
        <w:tcPr>
          <w:tcW w:w="1272" w:type="dxa"/>
        </w:tcPr>
        <w:p w:rsidR="00CB4EE6" w:rsidRPr="00CB4EE6" w:rsidRDefault="00CB4EE6" w:rsidP="00CB4EE6">
          <w:pPr>
            <w:pStyle w:val="FooterTableFieldText"/>
          </w:pPr>
        </w:p>
      </w:tc>
      <w:tc>
        <w:tcPr>
          <w:tcW w:w="3373" w:type="dxa"/>
        </w:tcPr>
        <w:p w:rsidR="00CB4EE6" w:rsidRPr="00CB4EE6" w:rsidRDefault="00741DE6" w:rsidP="00CB4EE6">
          <w:pPr>
            <w:pStyle w:val="FooterTableFieldText"/>
          </w:pPr>
          <w:r>
            <w:t>Jody Glover</w:t>
          </w:r>
        </w:p>
      </w:tc>
      <w:tc>
        <w:tcPr>
          <w:tcW w:w="2344" w:type="dxa"/>
          <w:gridSpan w:val="2"/>
        </w:tcPr>
        <w:p w:rsidR="00CB4EE6" w:rsidRPr="00CB4EE6" w:rsidRDefault="00645D59" w:rsidP="00CB4EE6">
          <w:pPr>
            <w:pStyle w:val="FooterTableFieldText"/>
          </w:pPr>
          <w:r>
            <w:t>Published</w:t>
          </w:r>
        </w:p>
      </w:tc>
      <w:tc>
        <w:tcPr>
          <w:tcW w:w="2344" w:type="dxa"/>
          <w:gridSpan w:val="3"/>
        </w:tcPr>
        <w:p w:rsidR="00CB4EE6" w:rsidRPr="00CB4EE6" w:rsidRDefault="00645D59" w:rsidP="00CB4EE6">
          <w:pPr>
            <w:pStyle w:val="FooterTableFieldText"/>
          </w:pPr>
          <w:r>
            <w:t>-</w:t>
          </w:r>
        </w:p>
      </w:tc>
    </w:tr>
    <w:tr w:rsidR="00CB4EE6" w:rsidRPr="00CB4EE6" w:rsidTr="00930592">
      <w:tc>
        <w:tcPr>
          <w:tcW w:w="4645" w:type="dxa"/>
          <w:gridSpan w:val="2"/>
        </w:tcPr>
        <w:p w:rsidR="00CB4EE6" w:rsidRPr="00CB4EE6" w:rsidRDefault="00CB4EE6" w:rsidP="00CB4EE6">
          <w:pPr>
            <w:pStyle w:val="FooterTableCaption"/>
          </w:pPr>
          <w:r w:rsidRPr="00CB4EE6">
            <w:t>APPROVED</w:t>
          </w:r>
        </w:p>
      </w:tc>
      <w:tc>
        <w:tcPr>
          <w:tcW w:w="4688" w:type="dxa"/>
          <w:gridSpan w:val="5"/>
        </w:tcPr>
        <w:p w:rsidR="00CB4EE6" w:rsidRPr="00CB4EE6" w:rsidRDefault="00CB4EE6" w:rsidP="00CB4EE6">
          <w:pPr>
            <w:pStyle w:val="FooterTableCaption"/>
          </w:pPr>
          <w:r w:rsidRPr="00CB4EE6">
            <w:t>DOCUMENT KIND</w:t>
          </w:r>
        </w:p>
      </w:tc>
    </w:tr>
    <w:tr w:rsidR="00CB4EE6" w:rsidRPr="00CB4EE6" w:rsidTr="00930592">
      <w:tc>
        <w:tcPr>
          <w:tcW w:w="1272" w:type="dxa"/>
        </w:tcPr>
        <w:p w:rsidR="00CB4EE6" w:rsidRPr="00CB4EE6" w:rsidRDefault="00CB4EE6" w:rsidP="00CB4EE6">
          <w:pPr>
            <w:pStyle w:val="FooterTableFieldText"/>
          </w:pPr>
        </w:p>
      </w:tc>
      <w:tc>
        <w:tcPr>
          <w:tcW w:w="3373" w:type="dxa"/>
        </w:tcPr>
        <w:p w:rsidR="00CB4EE6" w:rsidRPr="00CB4EE6" w:rsidRDefault="00741DE6" w:rsidP="00741DE6">
          <w:pPr>
            <w:pStyle w:val="FooterTableFieldText"/>
            <w:tabs>
              <w:tab w:val="clear" w:pos="9356"/>
              <w:tab w:val="left" w:pos="1068"/>
            </w:tabs>
            <w:ind w:left="0"/>
          </w:pPr>
          <w:r>
            <w:t xml:space="preserve"> Paul Olsen</w:t>
          </w:r>
        </w:p>
      </w:tc>
      <w:tc>
        <w:tcPr>
          <w:tcW w:w="4688" w:type="dxa"/>
          <w:gridSpan w:val="5"/>
        </w:tcPr>
        <w:p w:rsidR="00CB4EE6" w:rsidRPr="00CB4EE6" w:rsidRDefault="00741DE6" w:rsidP="00CB4EE6">
          <w:pPr>
            <w:pStyle w:val="FooterTableFieldText"/>
          </w:pPr>
          <w:r>
            <w:t>Technical specification</w:t>
          </w:r>
        </w:p>
      </w:tc>
    </w:tr>
    <w:tr w:rsidR="00CB4EE6" w:rsidRPr="00CB4EE6" w:rsidTr="00930592">
      <w:tc>
        <w:tcPr>
          <w:tcW w:w="4645" w:type="dxa"/>
          <w:gridSpan w:val="2"/>
        </w:tcPr>
        <w:p w:rsidR="00CB4EE6" w:rsidRPr="00CB4EE6" w:rsidRDefault="00CB4EE6" w:rsidP="00CB4EE6">
          <w:pPr>
            <w:pStyle w:val="FooterTableCaption"/>
            <w:rPr>
              <w:highlight w:val="yellow"/>
            </w:rPr>
          </w:pPr>
          <w:r w:rsidRPr="00CB4EE6">
            <w:t>OWNING ORGANIZATION</w:t>
          </w:r>
        </w:p>
      </w:tc>
      <w:tc>
        <w:tcPr>
          <w:tcW w:w="2296" w:type="dxa"/>
        </w:tcPr>
        <w:p w:rsidR="00CB4EE6" w:rsidRPr="00CB4EE6" w:rsidRDefault="00CB4EE6" w:rsidP="00CB4EE6">
          <w:pPr>
            <w:pStyle w:val="FooterTableCaption"/>
          </w:pPr>
          <w:r w:rsidRPr="00CB4EE6">
            <w:t>DOCUMENT ID.</w:t>
          </w:r>
        </w:p>
      </w:tc>
      <w:tc>
        <w:tcPr>
          <w:tcW w:w="709" w:type="dxa"/>
          <w:gridSpan w:val="2"/>
        </w:tcPr>
        <w:p w:rsidR="00CB4EE6" w:rsidRPr="00CB4EE6" w:rsidRDefault="00CB4EE6" w:rsidP="00CB4EE6">
          <w:pPr>
            <w:pStyle w:val="FooterTableCaption"/>
          </w:pPr>
          <w:r w:rsidRPr="00CB4EE6">
            <w:t>REV.</w:t>
          </w:r>
        </w:p>
      </w:tc>
      <w:tc>
        <w:tcPr>
          <w:tcW w:w="567" w:type="dxa"/>
        </w:tcPr>
        <w:p w:rsidR="00CB4EE6" w:rsidRPr="00CB4EE6" w:rsidRDefault="00CB4EE6" w:rsidP="00CB4EE6">
          <w:pPr>
            <w:pStyle w:val="FooterTableCaption"/>
          </w:pPr>
          <w:r w:rsidRPr="00CB4EE6">
            <w:t>LANG.</w:t>
          </w:r>
        </w:p>
      </w:tc>
      <w:tc>
        <w:tcPr>
          <w:tcW w:w="1116" w:type="dxa"/>
        </w:tcPr>
        <w:p w:rsidR="00CB4EE6" w:rsidRPr="00CB4EE6" w:rsidRDefault="00CB4EE6" w:rsidP="00CB4EE6">
          <w:pPr>
            <w:pStyle w:val="FooterTableCaption"/>
          </w:pPr>
          <w:r w:rsidRPr="00CB4EE6">
            <w:t>PAGE</w:t>
          </w:r>
        </w:p>
      </w:tc>
    </w:tr>
    <w:tr w:rsidR="00CB4EE6" w:rsidRPr="00CB4EE6" w:rsidTr="00930592">
      <w:tc>
        <w:tcPr>
          <w:tcW w:w="4645" w:type="dxa"/>
          <w:gridSpan w:val="2"/>
        </w:tcPr>
        <w:p w:rsidR="00CB4EE6" w:rsidRPr="00CB4EE6" w:rsidRDefault="00741DE6" w:rsidP="00CB4EE6">
          <w:pPr>
            <w:pStyle w:val="FooterTableFieldText"/>
          </w:pPr>
          <w:r>
            <w:t>ABB Australia Pty Limited</w:t>
          </w:r>
        </w:p>
      </w:tc>
      <w:tc>
        <w:tcPr>
          <w:tcW w:w="2296" w:type="dxa"/>
        </w:tcPr>
        <w:p w:rsidR="00CB4EE6" w:rsidRPr="00CB4EE6" w:rsidRDefault="008571C3" w:rsidP="00645D59">
          <w:pPr>
            <w:pStyle w:val="FooterTableDocumentID"/>
          </w:pPr>
          <w:r>
            <w:t>9AKK107492</w:t>
          </w:r>
          <w:r w:rsidR="00F102B8">
            <w:t>A2223</w:t>
          </w:r>
        </w:p>
      </w:tc>
      <w:tc>
        <w:tcPr>
          <w:tcW w:w="709" w:type="dxa"/>
          <w:gridSpan w:val="2"/>
        </w:tcPr>
        <w:p w:rsidR="00CB4EE6" w:rsidRPr="00CB4EE6" w:rsidRDefault="00F102B8" w:rsidP="00CB4EE6">
          <w:pPr>
            <w:pStyle w:val="FooterTableFieldText"/>
          </w:pPr>
          <w:r>
            <w:t>A</w:t>
          </w:r>
        </w:p>
      </w:tc>
      <w:tc>
        <w:tcPr>
          <w:tcW w:w="567" w:type="dxa"/>
        </w:tcPr>
        <w:p w:rsidR="00CB4EE6" w:rsidRPr="00CB4EE6" w:rsidRDefault="00741DE6" w:rsidP="00CB4EE6">
          <w:pPr>
            <w:pStyle w:val="FooterTableFieldText"/>
          </w:pPr>
          <w:proofErr w:type="spellStart"/>
          <w:r>
            <w:t>en</w:t>
          </w:r>
          <w:proofErr w:type="spellEnd"/>
        </w:p>
      </w:tc>
      <w:tc>
        <w:tcPr>
          <w:tcW w:w="1116" w:type="dxa"/>
        </w:tcPr>
        <w:p w:rsidR="00CB4EE6" w:rsidRPr="00CB4EE6" w:rsidRDefault="00CB4EE6" w:rsidP="00CB4EE6">
          <w:pPr>
            <w:pStyle w:val="FooterTableFieldText"/>
          </w:pPr>
          <w:r w:rsidRPr="00CB4EE6">
            <w:fldChar w:fldCharType="begin"/>
          </w:r>
          <w:r w:rsidRPr="00CB4EE6">
            <w:instrText xml:space="preserve"> PAGE   \* MERGEFORMAT </w:instrText>
          </w:r>
          <w:r w:rsidRPr="00CB4EE6">
            <w:fldChar w:fldCharType="separate"/>
          </w:r>
          <w:r w:rsidRPr="00CB4EE6">
            <w:t>2</w:t>
          </w:r>
          <w:r w:rsidRPr="00CB4EE6">
            <w:fldChar w:fldCharType="end"/>
          </w:r>
          <w:r w:rsidRPr="00CB4EE6">
            <w:t>/</w:t>
          </w:r>
          <w:fldSimple w:instr=" NUMPAGES   \* MERGEFORMAT ">
            <w:r w:rsidRPr="00CB4EE6">
              <w:t>2</w:t>
            </w:r>
          </w:fldSimple>
        </w:p>
      </w:tc>
    </w:tr>
    <w:tr w:rsidR="00CB4EE6" w:rsidRPr="00CB4EE6" w:rsidTr="00930592">
      <w:tc>
        <w:tcPr>
          <w:tcW w:w="9333" w:type="dxa"/>
          <w:gridSpan w:val="7"/>
        </w:tcPr>
        <w:p w:rsidR="00CB4EE6" w:rsidRPr="00CB4EE6" w:rsidRDefault="00CB4EE6" w:rsidP="00CB4EE6">
          <w:pPr>
            <w:pStyle w:val="FooterTableCopyright"/>
          </w:pPr>
          <w:r w:rsidRPr="00CB4EE6">
            <w:t>© Copyright</w:t>
          </w:r>
          <w:r w:rsidR="00741DE6">
            <w:t xml:space="preserve"> 2019 </w:t>
          </w:r>
          <w:r w:rsidRPr="00CB4EE6">
            <w:t>ABB. All rights reserved.</w:t>
          </w:r>
        </w:p>
      </w:tc>
    </w:tr>
  </w:tbl>
  <w:p w:rsidR="00CB4EE6" w:rsidRPr="00CB4EE6" w:rsidRDefault="00CB4EE6" w:rsidP="00CB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24" w:rsidRDefault="006D5224" w:rsidP="004266B9">
      <w:pPr>
        <w:pStyle w:val="FootnoteSeparator"/>
      </w:pPr>
    </w:p>
  </w:footnote>
  <w:footnote w:type="continuationSeparator" w:id="0">
    <w:p w:rsidR="006D5224" w:rsidRDefault="006D5224" w:rsidP="004266B9">
      <w:pPr>
        <w:pStyle w:val="FootnoteSeparatorcont"/>
      </w:pPr>
    </w:p>
  </w:footnote>
  <w:footnote w:type="continuationNotice" w:id="1">
    <w:p w:rsidR="006D5224" w:rsidRDefault="006D5224"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23" w:rsidRDefault="00B674A7" w:rsidP="00232219">
    <w:pPr>
      <w:pStyle w:val="Header"/>
    </w:pPr>
    <w:r>
      <w:tab/>
    </w:r>
    <w:r w:rsidRPr="00B674A7">
      <w:rPr>
        <w:lang w:val="de-DE"/>
      </w:rPr>
      <w:fldChar w:fldCharType="begin"/>
    </w:r>
    <w:r w:rsidRPr="00B674A7">
      <w:rPr>
        <w:lang w:val="de-DE"/>
      </w:rPr>
      <w:instrText xml:space="preserve"> STYLEREF  "_T2 Title" </w:instrText>
    </w:r>
    <w:r w:rsidRPr="00B674A7">
      <w:rPr>
        <w:lang w:val="de-DE"/>
      </w:rPr>
      <w:fldChar w:fldCharType="separate"/>
    </w:r>
    <w:r w:rsidR="00EB66DF">
      <w:rPr>
        <w:noProof/>
        <w:lang w:val="de-DE"/>
      </w:rPr>
      <w:t>DALI specification</w:t>
    </w:r>
    <w:r w:rsidRPr="00B674A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23" w:rsidRDefault="00987223" w:rsidP="00B674A7">
    <w:pPr>
      <w:pStyle w:val="Header"/>
    </w:pPr>
    <w:r>
      <w:rPr>
        <w:noProof/>
        <w:lang w:eastAsia="de-CH"/>
      </w:rPr>
      <mc:AlternateContent>
        <mc:Choice Requires="wpg">
          <w:drawing>
            <wp:anchor distT="0" distB="0" distL="114300" distR="114300" simplePos="0" relativeHeight="251658240" behindDoc="1" locked="1" layoutInCell="1" allowOverlap="1" wp14:anchorId="6666823B" wp14:editId="6558598E">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D0CB0A"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0066EC02" wp14:editId="0F921BA0">
              <wp:simplePos x="0" y="0"/>
              <wp:positionH relativeFrom="margin">
                <wp:posOffset>0</wp:posOffset>
              </wp:positionH>
              <wp:positionV relativeFrom="margin">
                <wp:posOffset>0</wp:posOffset>
              </wp:positionV>
              <wp:extent cx="59396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5D31" id="Rectangle 3"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9A93A07"/>
    <w:multiLevelType w:val="hybridMultilevel"/>
    <w:tmpl w:val="A474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15:restartNumberingAfterBreak="0">
    <w:nsid w:val="0FE8651E"/>
    <w:multiLevelType w:val="hybridMultilevel"/>
    <w:tmpl w:val="FAE4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224F4"/>
    <w:multiLevelType w:val="multilevel"/>
    <w:tmpl w:val="2206B890"/>
    <w:numStyleLink w:val="ABBBulletList"/>
  </w:abstractNum>
  <w:abstractNum w:abstractNumId="5" w15:restartNumberingAfterBreak="0">
    <w:nsid w:val="234704DF"/>
    <w:multiLevelType w:val="multilevel"/>
    <w:tmpl w:val="AAA05E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35226A2"/>
    <w:multiLevelType w:val="hybridMultilevel"/>
    <w:tmpl w:val="A346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A123F"/>
    <w:multiLevelType w:val="hybridMultilevel"/>
    <w:tmpl w:val="7EC4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00BE9"/>
    <w:multiLevelType w:val="multilevel"/>
    <w:tmpl w:val="EDF6B122"/>
    <w:numStyleLink w:val="ABBNumberedList"/>
  </w:abstractNum>
  <w:abstractNum w:abstractNumId="9" w15:restartNumberingAfterBreak="0">
    <w:nsid w:val="36564132"/>
    <w:multiLevelType w:val="hybridMultilevel"/>
    <w:tmpl w:val="CCA6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5B4DDF"/>
    <w:multiLevelType w:val="hybridMultilevel"/>
    <w:tmpl w:val="6356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82618"/>
    <w:multiLevelType w:val="hybridMultilevel"/>
    <w:tmpl w:val="1E4E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3F6C44"/>
    <w:multiLevelType w:val="hybridMultilevel"/>
    <w:tmpl w:val="65E6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790F16"/>
    <w:multiLevelType w:val="hybridMultilevel"/>
    <w:tmpl w:val="0822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125D6A"/>
    <w:multiLevelType w:val="hybridMultilevel"/>
    <w:tmpl w:val="DC82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4F20AC"/>
    <w:multiLevelType w:val="hybridMultilevel"/>
    <w:tmpl w:val="581E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3"/>
  </w:num>
  <w:num w:numId="5">
    <w:abstractNumId w:val="4"/>
  </w:num>
  <w:num w:numId="6">
    <w:abstractNumId w:val="8"/>
  </w:num>
  <w:num w:numId="7">
    <w:abstractNumId w:val="5"/>
  </w:num>
  <w:num w:numId="8">
    <w:abstractNumId w:val="11"/>
  </w:num>
  <w:num w:numId="9">
    <w:abstractNumId w:val="17"/>
  </w:num>
  <w:num w:numId="10">
    <w:abstractNumId w:val="16"/>
  </w:num>
  <w:num w:numId="11">
    <w:abstractNumId w:val="10"/>
  </w:num>
  <w:num w:numId="12">
    <w:abstractNumId w:val="6"/>
  </w:num>
  <w:num w:numId="13">
    <w:abstractNumId w:val="1"/>
  </w:num>
  <w:num w:numId="14">
    <w:abstractNumId w:val="14"/>
  </w:num>
  <w:num w:numId="15">
    <w:abstractNumId w:val="3"/>
  </w:num>
  <w:num w:numId="16">
    <w:abstractNumId w:val="9"/>
  </w:num>
  <w:num w:numId="17">
    <w:abstractNumId w:val="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hdrShapeDefaults>
    <o:shapedefaults v:ext="edit" spidmax="10241">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24"/>
    <w:rsid w:val="00001506"/>
    <w:rsid w:val="000024F0"/>
    <w:rsid w:val="00010945"/>
    <w:rsid w:val="00010B2C"/>
    <w:rsid w:val="0001134F"/>
    <w:rsid w:val="00011AB4"/>
    <w:rsid w:val="00012122"/>
    <w:rsid w:val="000316EC"/>
    <w:rsid w:val="00032B92"/>
    <w:rsid w:val="000349BC"/>
    <w:rsid w:val="00034C65"/>
    <w:rsid w:val="000377AB"/>
    <w:rsid w:val="0004141A"/>
    <w:rsid w:val="00041AAD"/>
    <w:rsid w:val="00047D44"/>
    <w:rsid w:val="00047D9B"/>
    <w:rsid w:val="00047F92"/>
    <w:rsid w:val="00052F24"/>
    <w:rsid w:val="00053E6C"/>
    <w:rsid w:val="0005548E"/>
    <w:rsid w:val="0005574C"/>
    <w:rsid w:val="00057D3C"/>
    <w:rsid w:val="000718C1"/>
    <w:rsid w:val="0008259C"/>
    <w:rsid w:val="00082633"/>
    <w:rsid w:val="00090D8F"/>
    <w:rsid w:val="000929D2"/>
    <w:rsid w:val="000A1C88"/>
    <w:rsid w:val="000A2575"/>
    <w:rsid w:val="000A640E"/>
    <w:rsid w:val="000A673B"/>
    <w:rsid w:val="000B5EBD"/>
    <w:rsid w:val="000C31C4"/>
    <w:rsid w:val="000C48BA"/>
    <w:rsid w:val="000D36F0"/>
    <w:rsid w:val="000E4F4F"/>
    <w:rsid w:val="000F0887"/>
    <w:rsid w:val="000F18AF"/>
    <w:rsid w:val="000F6B8E"/>
    <w:rsid w:val="00103980"/>
    <w:rsid w:val="00103E95"/>
    <w:rsid w:val="00114AA0"/>
    <w:rsid w:val="00115E9B"/>
    <w:rsid w:val="001166D7"/>
    <w:rsid w:val="001167A5"/>
    <w:rsid w:val="00116C63"/>
    <w:rsid w:val="001205EA"/>
    <w:rsid w:val="00121069"/>
    <w:rsid w:val="00132B5E"/>
    <w:rsid w:val="00134512"/>
    <w:rsid w:val="00140AEA"/>
    <w:rsid w:val="00145579"/>
    <w:rsid w:val="0015411E"/>
    <w:rsid w:val="00154ECF"/>
    <w:rsid w:val="00162DAB"/>
    <w:rsid w:val="00166C34"/>
    <w:rsid w:val="001716A3"/>
    <w:rsid w:val="00173FD2"/>
    <w:rsid w:val="00177FAD"/>
    <w:rsid w:val="00180ABF"/>
    <w:rsid w:val="00186263"/>
    <w:rsid w:val="001904D9"/>
    <w:rsid w:val="001907E2"/>
    <w:rsid w:val="00192AAD"/>
    <w:rsid w:val="001A4EE8"/>
    <w:rsid w:val="001A54AA"/>
    <w:rsid w:val="001A765C"/>
    <w:rsid w:val="001B2C44"/>
    <w:rsid w:val="001B3902"/>
    <w:rsid w:val="001C2572"/>
    <w:rsid w:val="001C77EE"/>
    <w:rsid w:val="001D30CF"/>
    <w:rsid w:val="001D5BBF"/>
    <w:rsid w:val="001E0E38"/>
    <w:rsid w:val="001E25FA"/>
    <w:rsid w:val="001E30F1"/>
    <w:rsid w:val="001E478C"/>
    <w:rsid w:val="001E5AA1"/>
    <w:rsid w:val="001F10CC"/>
    <w:rsid w:val="001F4FAA"/>
    <w:rsid w:val="002136CF"/>
    <w:rsid w:val="002151A6"/>
    <w:rsid w:val="002159BC"/>
    <w:rsid w:val="00217A29"/>
    <w:rsid w:val="002209B2"/>
    <w:rsid w:val="00222B83"/>
    <w:rsid w:val="002237F9"/>
    <w:rsid w:val="00224E34"/>
    <w:rsid w:val="002260C2"/>
    <w:rsid w:val="00232219"/>
    <w:rsid w:val="00232EDA"/>
    <w:rsid w:val="002367BA"/>
    <w:rsid w:val="002435C0"/>
    <w:rsid w:val="00247D5A"/>
    <w:rsid w:val="0025525C"/>
    <w:rsid w:val="0026226A"/>
    <w:rsid w:val="0026612B"/>
    <w:rsid w:val="00271245"/>
    <w:rsid w:val="00272B18"/>
    <w:rsid w:val="002730A2"/>
    <w:rsid w:val="002929F6"/>
    <w:rsid w:val="002A033B"/>
    <w:rsid w:val="002A42DE"/>
    <w:rsid w:val="002A63F8"/>
    <w:rsid w:val="002A72E7"/>
    <w:rsid w:val="002B20C6"/>
    <w:rsid w:val="002B3F45"/>
    <w:rsid w:val="002C45F5"/>
    <w:rsid w:val="002C564B"/>
    <w:rsid w:val="002D08EC"/>
    <w:rsid w:val="002D14C0"/>
    <w:rsid w:val="002D3DA9"/>
    <w:rsid w:val="002D41B0"/>
    <w:rsid w:val="002E76D1"/>
    <w:rsid w:val="002E7AE9"/>
    <w:rsid w:val="002F05A0"/>
    <w:rsid w:val="002F2B39"/>
    <w:rsid w:val="002F2D31"/>
    <w:rsid w:val="002F504A"/>
    <w:rsid w:val="002F64D8"/>
    <w:rsid w:val="00303263"/>
    <w:rsid w:val="00310AB3"/>
    <w:rsid w:val="00312ABA"/>
    <w:rsid w:val="00314D89"/>
    <w:rsid w:val="00315040"/>
    <w:rsid w:val="003150E5"/>
    <w:rsid w:val="003157D4"/>
    <w:rsid w:val="003245F8"/>
    <w:rsid w:val="0032711B"/>
    <w:rsid w:val="00332CBB"/>
    <w:rsid w:val="00333574"/>
    <w:rsid w:val="00350B62"/>
    <w:rsid w:val="00351A44"/>
    <w:rsid w:val="00355B36"/>
    <w:rsid w:val="003572C7"/>
    <w:rsid w:val="00357560"/>
    <w:rsid w:val="00366DC8"/>
    <w:rsid w:val="00372114"/>
    <w:rsid w:val="00372CFE"/>
    <w:rsid w:val="003736C4"/>
    <w:rsid w:val="00374CE1"/>
    <w:rsid w:val="003800D5"/>
    <w:rsid w:val="003801C9"/>
    <w:rsid w:val="0038051D"/>
    <w:rsid w:val="003917C6"/>
    <w:rsid w:val="003964C1"/>
    <w:rsid w:val="003A57D9"/>
    <w:rsid w:val="003D001B"/>
    <w:rsid w:val="003D1C86"/>
    <w:rsid w:val="003D3F5A"/>
    <w:rsid w:val="003E40F0"/>
    <w:rsid w:val="003F0581"/>
    <w:rsid w:val="003F0C10"/>
    <w:rsid w:val="003F0DEE"/>
    <w:rsid w:val="003F4A41"/>
    <w:rsid w:val="004002B7"/>
    <w:rsid w:val="0040437B"/>
    <w:rsid w:val="00421650"/>
    <w:rsid w:val="004266B9"/>
    <w:rsid w:val="00430760"/>
    <w:rsid w:val="004314D2"/>
    <w:rsid w:val="004319B7"/>
    <w:rsid w:val="00432305"/>
    <w:rsid w:val="00432F83"/>
    <w:rsid w:val="00433600"/>
    <w:rsid w:val="00434B6D"/>
    <w:rsid w:val="004378CC"/>
    <w:rsid w:val="00445474"/>
    <w:rsid w:val="00447FB8"/>
    <w:rsid w:val="004604C9"/>
    <w:rsid w:val="00461899"/>
    <w:rsid w:val="004632EE"/>
    <w:rsid w:val="00470202"/>
    <w:rsid w:val="00472F77"/>
    <w:rsid w:val="004734F1"/>
    <w:rsid w:val="00475307"/>
    <w:rsid w:val="004803B0"/>
    <w:rsid w:val="0048704E"/>
    <w:rsid w:val="004873F3"/>
    <w:rsid w:val="0049122E"/>
    <w:rsid w:val="00492FC3"/>
    <w:rsid w:val="004965FF"/>
    <w:rsid w:val="00497962"/>
    <w:rsid w:val="004A0BF3"/>
    <w:rsid w:val="004B250F"/>
    <w:rsid w:val="004B53EB"/>
    <w:rsid w:val="004B56CE"/>
    <w:rsid w:val="004B7208"/>
    <w:rsid w:val="004C2164"/>
    <w:rsid w:val="004C28E2"/>
    <w:rsid w:val="004D0CF2"/>
    <w:rsid w:val="004D491B"/>
    <w:rsid w:val="004D6A3E"/>
    <w:rsid w:val="004E0614"/>
    <w:rsid w:val="004E1C3C"/>
    <w:rsid w:val="004E2360"/>
    <w:rsid w:val="004E409B"/>
    <w:rsid w:val="004E703C"/>
    <w:rsid w:val="004F0B45"/>
    <w:rsid w:val="004F0DCD"/>
    <w:rsid w:val="004F3B84"/>
    <w:rsid w:val="004F541E"/>
    <w:rsid w:val="004F6000"/>
    <w:rsid w:val="004F7F7E"/>
    <w:rsid w:val="005010C4"/>
    <w:rsid w:val="00504E78"/>
    <w:rsid w:val="0050513D"/>
    <w:rsid w:val="00517842"/>
    <w:rsid w:val="00522C3F"/>
    <w:rsid w:val="0052596D"/>
    <w:rsid w:val="00526933"/>
    <w:rsid w:val="00526FEC"/>
    <w:rsid w:val="00530E7E"/>
    <w:rsid w:val="00543C86"/>
    <w:rsid w:val="00543FEE"/>
    <w:rsid w:val="00544257"/>
    <w:rsid w:val="0054693B"/>
    <w:rsid w:val="0055263C"/>
    <w:rsid w:val="00556333"/>
    <w:rsid w:val="00566C97"/>
    <w:rsid w:val="00574134"/>
    <w:rsid w:val="0057413B"/>
    <w:rsid w:val="0057584E"/>
    <w:rsid w:val="005760AB"/>
    <w:rsid w:val="00577A98"/>
    <w:rsid w:val="00590054"/>
    <w:rsid w:val="005901C0"/>
    <w:rsid w:val="00594AEF"/>
    <w:rsid w:val="00596621"/>
    <w:rsid w:val="005A06EE"/>
    <w:rsid w:val="005A7C15"/>
    <w:rsid w:val="005A7DAE"/>
    <w:rsid w:val="005B06ED"/>
    <w:rsid w:val="005B38C4"/>
    <w:rsid w:val="005B6102"/>
    <w:rsid w:val="005C2861"/>
    <w:rsid w:val="005C6F93"/>
    <w:rsid w:val="005D4BC5"/>
    <w:rsid w:val="005D5877"/>
    <w:rsid w:val="005F4B7C"/>
    <w:rsid w:val="00602C80"/>
    <w:rsid w:val="00603B0D"/>
    <w:rsid w:val="00610DF2"/>
    <w:rsid w:val="00611069"/>
    <w:rsid w:val="00614267"/>
    <w:rsid w:val="006223B1"/>
    <w:rsid w:val="0062686C"/>
    <w:rsid w:val="006312E1"/>
    <w:rsid w:val="00631C11"/>
    <w:rsid w:val="00640733"/>
    <w:rsid w:val="00641310"/>
    <w:rsid w:val="0064522A"/>
    <w:rsid w:val="00645D59"/>
    <w:rsid w:val="00652168"/>
    <w:rsid w:val="00653DB2"/>
    <w:rsid w:val="00660EBD"/>
    <w:rsid w:val="0067130F"/>
    <w:rsid w:val="006733DF"/>
    <w:rsid w:val="00674F22"/>
    <w:rsid w:val="00675EAD"/>
    <w:rsid w:val="006A2528"/>
    <w:rsid w:val="006A3A29"/>
    <w:rsid w:val="006B00E6"/>
    <w:rsid w:val="006B1924"/>
    <w:rsid w:val="006B55B0"/>
    <w:rsid w:val="006D3684"/>
    <w:rsid w:val="006D5224"/>
    <w:rsid w:val="006E0E29"/>
    <w:rsid w:val="006E389A"/>
    <w:rsid w:val="006E44F1"/>
    <w:rsid w:val="006F5172"/>
    <w:rsid w:val="0070048C"/>
    <w:rsid w:val="0070365B"/>
    <w:rsid w:val="00704F6F"/>
    <w:rsid w:val="00711EF4"/>
    <w:rsid w:val="00713487"/>
    <w:rsid w:val="0071757B"/>
    <w:rsid w:val="00720F6D"/>
    <w:rsid w:val="00723910"/>
    <w:rsid w:val="00731F1A"/>
    <w:rsid w:val="00732D11"/>
    <w:rsid w:val="00736CDE"/>
    <w:rsid w:val="00741DE6"/>
    <w:rsid w:val="007458B0"/>
    <w:rsid w:val="0074593E"/>
    <w:rsid w:val="007475B1"/>
    <w:rsid w:val="00772825"/>
    <w:rsid w:val="00772C6C"/>
    <w:rsid w:val="00773247"/>
    <w:rsid w:val="00775648"/>
    <w:rsid w:val="00775C15"/>
    <w:rsid w:val="007819A2"/>
    <w:rsid w:val="00786AD9"/>
    <w:rsid w:val="0079035B"/>
    <w:rsid w:val="00791E21"/>
    <w:rsid w:val="00792A0B"/>
    <w:rsid w:val="00797473"/>
    <w:rsid w:val="007B38C7"/>
    <w:rsid w:val="007B7FEE"/>
    <w:rsid w:val="007C1647"/>
    <w:rsid w:val="007C62CA"/>
    <w:rsid w:val="007C7B10"/>
    <w:rsid w:val="007D1721"/>
    <w:rsid w:val="007D29CD"/>
    <w:rsid w:val="007D4FBC"/>
    <w:rsid w:val="007E4B74"/>
    <w:rsid w:val="007E5390"/>
    <w:rsid w:val="007E7B56"/>
    <w:rsid w:val="007F1060"/>
    <w:rsid w:val="007F3F17"/>
    <w:rsid w:val="007F5BA5"/>
    <w:rsid w:val="007F680D"/>
    <w:rsid w:val="007F698E"/>
    <w:rsid w:val="007F6F80"/>
    <w:rsid w:val="0080172A"/>
    <w:rsid w:val="0080599D"/>
    <w:rsid w:val="00823579"/>
    <w:rsid w:val="008256E4"/>
    <w:rsid w:val="00827A1B"/>
    <w:rsid w:val="00827BEC"/>
    <w:rsid w:val="0083499A"/>
    <w:rsid w:val="0083536E"/>
    <w:rsid w:val="00835AE5"/>
    <w:rsid w:val="00835BD4"/>
    <w:rsid w:val="0084316C"/>
    <w:rsid w:val="00851D6F"/>
    <w:rsid w:val="0085405F"/>
    <w:rsid w:val="00855DF0"/>
    <w:rsid w:val="008571C3"/>
    <w:rsid w:val="008674E8"/>
    <w:rsid w:val="00872B99"/>
    <w:rsid w:val="0087441E"/>
    <w:rsid w:val="008749CD"/>
    <w:rsid w:val="00883D9E"/>
    <w:rsid w:val="00883E28"/>
    <w:rsid w:val="008940E3"/>
    <w:rsid w:val="00894C3F"/>
    <w:rsid w:val="008954BD"/>
    <w:rsid w:val="0089632D"/>
    <w:rsid w:val="008A04A4"/>
    <w:rsid w:val="008A1684"/>
    <w:rsid w:val="008A5C1D"/>
    <w:rsid w:val="008B17EE"/>
    <w:rsid w:val="008B4FB6"/>
    <w:rsid w:val="008C4CC0"/>
    <w:rsid w:val="008C61C6"/>
    <w:rsid w:val="008C66A8"/>
    <w:rsid w:val="008C6EAE"/>
    <w:rsid w:val="008D0EC4"/>
    <w:rsid w:val="008D3373"/>
    <w:rsid w:val="008E09A5"/>
    <w:rsid w:val="008E46F7"/>
    <w:rsid w:val="008E5301"/>
    <w:rsid w:val="008E596E"/>
    <w:rsid w:val="008F087D"/>
    <w:rsid w:val="008F2AE2"/>
    <w:rsid w:val="008F6D84"/>
    <w:rsid w:val="0090030E"/>
    <w:rsid w:val="0090788E"/>
    <w:rsid w:val="009109A6"/>
    <w:rsid w:val="0091588C"/>
    <w:rsid w:val="00917DDB"/>
    <w:rsid w:val="009209C9"/>
    <w:rsid w:val="00920C06"/>
    <w:rsid w:val="00920DB7"/>
    <w:rsid w:val="00924657"/>
    <w:rsid w:val="00943256"/>
    <w:rsid w:val="009436F9"/>
    <w:rsid w:val="00946041"/>
    <w:rsid w:val="00954065"/>
    <w:rsid w:val="00955404"/>
    <w:rsid w:val="0096518D"/>
    <w:rsid w:val="00970A24"/>
    <w:rsid w:val="00975C5D"/>
    <w:rsid w:val="009801E4"/>
    <w:rsid w:val="00982697"/>
    <w:rsid w:val="00982E2F"/>
    <w:rsid w:val="00984BA4"/>
    <w:rsid w:val="00985248"/>
    <w:rsid w:val="00987223"/>
    <w:rsid w:val="0099454A"/>
    <w:rsid w:val="00994D3A"/>
    <w:rsid w:val="009A0776"/>
    <w:rsid w:val="009A196B"/>
    <w:rsid w:val="009A3525"/>
    <w:rsid w:val="009A7184"/>
    <w:rsid w:val="009B10D9"/>
    <w:rsid w:val="009B1C6D"/>
    <w:rsid w:val="009B1C8D"/>
    <w:rsid w:val="009C0ABA"/>
    <w:rsid w:val="009C1FA8"/>
    <w:rsid w:val="009D0D69"/>
    <w:rsid w:val="009D40A3"/>
    <w:rsid w:val="009D45C9"/>
    <w:rsid w:val="009D50E1"/>
    <w:rsid w:val="009D7D76"/>
    <w:rsid w:val="009E0D58"/>
    <w:rsid w:val="009E3EDC"/>
    <w:rsid w:val="009F0095"/>
    <w:rsid w:val="009F5A4F"/>
    <w:rsid w:val="009F5A63"/>
    <w:rsid w:val="00A02658"/>
    <w:rsid w:val="00A06CF8"/>
    <w:rsid w:val="00A11546"/>
    <w:rsid w:val="00A200E2"/>
    <w:rsid w:val="00A219EB"/>
    <w:rsid w:val="00A25472"/>
    <w:rsid w:val="00A32308"/>
    <w:rsid w:val="00A326A7"/>
    <w:rsid w:val="00A34B84"/>
    <w:rsid w:val="00A3518E"/>
    <w:rsid w:val="00A37EBC"/>
    <w:rsid w:val="00A42B77"/>
    <w:rsid w:val="00A50E00"/>
    <w:rsid w:val="00A52267"/>
    <w:rsid w:val="00A5291F"/>
    <w:rsid w:val="00A5526C"/>
    <w:rsid w:val="00A56A47"/>
    <w:rsid w:val="00A602F3"/>
    <w:rsid w:val="00A6595C"/>
    <w:rsid w:val="00A65B9A"/>
    <w:rsid w:val="00A67342"/>
    <w:rsid w:val="00A67955"/>
    <w:rsid w:val="00A73524"/>
    <w:rsid w:val="00A8168B"/>
    <w:rsid w:val="00A879AF"/>
    <w:rsid w:val="00A91D93"/>
    <w:rsid w:val="00A93461"/>
    <w:rsid w:val="00A94717"/>
    <w:rsid w:val="00A96712"/>
    <w:rsid w:val="00A96C23"/>
    <w:rsid w:val="00AA06CD"/>
    <w:rsid w:val="00AA3D6D"/>
    <w:rsid w:val="00AB3058"/>
    <w:rsid w:val="00AB38EE"/>
    <w:rsid w:val="00AC771B"/>
    <w:rsid w:val="00AD5190"/>
    <w:rsid w:val="00AD5CD4"/>
    <w:rsid w:val="00AE36D8"/>
    <w:rsid w:val="00AE542A"/>
    <w:rsid w:val="00AF5ADF"/>
    <w:rsid w:val="00B0056D"/>
    <w:rsid w:val="00B01918"/>
    <w:rsid w:val="00B06E18"/>
    <w:rsid w:val="00B14695"/>
    <w:rsid w:val="00B15333"/>
    <w:rsid w:val="00B1568D"/>
    <w:rsid w:val="00B16C28"/>
    <w:rsid w:val="00B213BE"/>
    <w:rsid w:val="00B30099"/>
    <w:rsid w:val="00B35CBA"/>
    <w:rsid w:val="00B528EA"/>
    <w:rsid w:val="00B55542"/>
    <w:rsid w:val="00B5557C"/>
    <w:rsid w:val="00B56B65"/>
    <w:rsid w:val="00B60EF3"/>
    <w:rsid w:val="00B62667"/>
    <w:rsid w:val="00B674A7"/>
    <w:rsid w:val="00B75271"/>
    <w:rsid w:val="00B77386"/>
    <w:rsid w:val="00B8201F"/>
    <w:rsid w:val="00B92DF9"/>
    <w:rsid w:val="00B95460"/>
    <w:rsid w:val="00BA05F3"/>
    <w:rsid w:val="00BA6D56"/>
    <w:rsid w:val="00BA6FD0"/>
    <w:rsid w:val="00BB2AEE"/>
    <w:rsid w:val="00BB2EE1"/>
    <w:rsid w:val="00BC0CB8"/>
    <w:rsid w:val="00BC7205"/>
    <w:rsid w:val="00BD062C"/>
    <w:rsid w:val="00BD5055"/>
    <w:rsid w:val="00BD5AC8"/>
    <w:rsid w:val="00BD5C2F"/>
    <w:rsid w:val="00BD5C58"/>
    <w:rsid w:val="00BD6D84"/>
    <w:rsid w:val="00BE2F93"/>
    <w:rsid w:val="00BE32AC"/>
    <w:rsid w:val="00BE6283"/>
    <w:rsid w:val="00BE6D20"/>
    <w:rsid w:val="00BE742A"/>
    <w:rsid w:val="00BF035B"/>
    <w:rsid w:val="00BF0B0E"/>
    <w:rsid w:val="00BF0FAD"/>
    <w:rsid w:val="00BF2AD0"/>
    <w:rsid w:val="00BF3393"/>
    <w:rsid w:val="00C010CC"/>
    <w:rsid w:val="00C056C8"/>
    <w:rsid w:val="00C0577D"/>
    <w:rsid w:val="00C12D01"/>
    <w:rsid w:val="00C13C2F"/>
    <w:rsid w:val="00C21B77"/>
    <w:rsid w:val="00C2253C"/>
    <w:rsid w:val="00C23978"/>
    <w:rsid w:val="00C26018"/>
    <w:rsid w:val="00C26E16"/>
    <w:rsid w:val="00C32F19"/>
    <w:rsid w:val="00C33DF1"/>
    <w:rsid w:val="00C41FEB"/>
    <w:rsid w:val="00C4737E"/>
    <w:rsid w:val="00C51CE3"/>
    <w:rsid w:val="00C53227"/>
    <w:rsid w:val="00C57E46"/>
    <w:rsid w:val="00C60D54"/>
    <w:rsid w:val="00C61325"/>
    <w:rsid w:val="00C61B45"/>
    <w:rsid w:val="00C651FB"/>
    <w:rsid w:val="00C70A31"/>
    <w:rsid w:val="00C818B3"/>
    <w:rsid w:val="00C81F4F"/>
    <w:rsid w:val="00C83CBD"/>
    <w:rsid w:val="00C84E7D"/>
    <w:rsid w:val="00C8685F"/>
    <w:rsid w:val="00CA3F01"/>
    <w:rsid w:val="00CA7B6F"/>
    <w:rsid w:val="00CB2F83"/>
    <w:rsid w:val="00CB363B"/>
    <w:rsid w:val="00CB4EE6"/>
    <w:rsid w:val="00CB60B9"/>
    <w:rsid w:val="00CC0354"/>
    <w:rsid w:val="00CC25BB"/>
    <w:rsid w:val="00CC2961"/>
    <w:rsid w:val="00CC7CFA"/>
    <w:rsid w:val="00CE3A62"/>
    <w:rsid w:val="00CF38FC"/>
    <w:rsid w:val="00D03D0E"/>
    <w:rsid w:val="00D06603"/>
    <w:rsid w:val="00D17B0F"/>
    <w:rsid w:val="00D20993"/>
    <w:rsid w:val="00D26AEF"/>
    <w:rsid w:val="00D277AE"/>
    <w:rsid w:val="00D36675"/>
    <w:rsid w:val="00D40676"/>
    <w:rsid w:val="00D45EA2"/>
    <w:rsid w:val="00D47266"/>
    <w:rsid w:val="00D51AF5"/>
    <w:rsid w:val="00D52662"/>
    <w:rsid w:val="00D55ADB"/>
    <w:rsid w:val="00D612C4"/>
    <w:rsid w:val="00D6377C"/>
    <w:rsid w:val="00D663F8"/>
    <w:rsid w:val="00D67B84"/>
    <w:rsid w:val="00D745DA"/>
    <w:rsid w:val="00D80330"/>
    <w:rsid w:val="00D837E6"/>
    <w:rsid w:val="00D90C5F"/>
    <w:rsid w:val="00D959C2"/>
    <w:rsid w:val="00DA2074"/>
    <w:rsid w:val="00DA35C2"/>
    <w:rsid w:val="00DB2D8E"/>
    <w:rsid w:val="00DB7289"/>
    <w:rsid w:val="00DB77DE"/>
    <w:rsid w:val="00DC3945"/>
    <w:rsid w:val="00DC462D"/>
    <w:rsid w:val="00DC510D"/>
    <w:rsid w:val="00DD22CC"/>
    <w:rsid w:val="00DD5377"/>
    <w:rsid w:val="00DD7A03"/>
    <w:rsid w:val="00DE018C"/>
    <w:rsid w:val="00DE0613"/>
    <w:rsid w:val="00DE0B0A"/>
    <w:rsid w:val="00DE2FC8"/>
    <w:rsid w:val="00DE713E"/>
    <w:rsid w:val="00DE79CE"/>
    <w:rsid w:val="00DF0AA5"/>
    <w:rsid w:val="00DF6FCF"/>
    <w:rsid w:val="00E008C5"/>
    <w:rsid w:val="00E03418"/>
    <w:rsid w:val="00E06264"/>
    <w:rsid w:val="00E071B3"/>
    <w:rsid w:val="00E33DEB"/>
    <w:rsid w:val="00E4373E"/>
    <w:rsid w:val="00E44C41"/>
    <w:rsid w:val="00E50BCB"/>
    <w:rsid w:val="00E561C3"/>
    <w:rsid w:val="00E6269D"/>
    <w:rsid w:val="00E658E6"/>
    <w:rsid w:val="00E702BA"/>
    <w:rsid w:val="00E71A2F"/>
    <w:rsid w:val="00E73CA0"/>
    <w:rsid w:val="00E77BE9"/>
    <w:rsid w:val="00E80997"/>
    <w:rsid w:val="00E845EA"/>
    <w:rsid w:val="00E87835"/>
    <w:rsid w:val="00EA1071"/>
    <w:rsid w:val="00EA2F26"/>
    <w:rsid w:val="00EA42FD"/>
    <w:rsid w:val="00EA5568"/>
    <w:rsid w:val="00EB02F1"/>
    <w:rsid w:val="00EB4E1B"/>
    <w:rsid w:val="00EB66DF"/>
    <w:rsid w:val="00EC361B"/>
    <w:rsid w:val="00ED388A"/>
    <w:rsid w:val="00ED3F93"/>
    <w:rsid w:val="00ED4540"/>
    <w:rsid w:val="00ED5BAF"/>
    <w:rsid w:val="00ED70FE"/>
    <w:rsid w:val="00ED780C"/>
    <w:rsid w:val="00EE02B7"/>
    <w:rsid w:val="00EE7B64"/>
    <w:rsid w:val="00EF4F32"/>
    <w:rsid w:val="00EF64FA"/>
    <w:rsid w:val="00F065C8"/>
    <w:rsid w:val="00F102B8"/>
    <w:rsid w:val="00F143FD"/>
    <w:rsid w:val="00F2197A"/>
    <w:rsid w:val="00F21A10"/>
    <w:rsid w:val="00F241D0"/>
    <w:rsid w:val="00F3345B"/>
    <w:rsid w:val="00F4035A"/>
    <w:rsid w:val="00F419C6"/>
    <w:rsid w:val="00F47E76"/>
    <w:rsid w:val="00F5253E"/>
    <w:rsid w:val="00F55096"/>
    <w:rsid w:val="00F603C5"/>
    <w:rsid w:val="00F61CD3"/>
    <w:rsid w:val="00F71466"/>
    <w:rsid w:val="00F73E5F"/>
    <w:rsid w:val="00F75DA8"/>
    <w:rsid w:val="00F769F5"/>
    <w:rsid w:val="00F87CFD"/>
    <w:rsid w:val="00F9194B"/>
    <w:rsid w:val="00F94EBD"/>
    <w:rsid w:val="00F97287"/>
    <w:rsid w:val="00FA0513"/>
    <w:rsid w:val="00FA349D"/>
    <w:rsid w:val="00FA77DF"/>
    <w:rsid w:val="00FB0E8B"/>
    <w:rsid w:val="00FB3B03"/>
    <w:rsid w:val="00FC3235"/>
    <w:rsid w:val="00FC6C98"/>
    <w:rsid w:val="00FC7D30"/>
    <w:rsid w:val="00FC7FA2"/>
    <w:rsid w:val="00FD0C32"/>
    <w:rsid w:val="00FE078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silver"/>
    </o:shapedefaults>
    <o:shapelayout v:ext="edit">
      <o:idmap v:ext="edit" data="1"/>
    </o:shapelayout>
  </w:shapeDefaults>
  <w:decimalSymbol w:val="."/>
  <w:listSeparator w:val=","/>
  <w14:docId w14:val="26F92057"/>
  <w15:docId w15:val="{37784795-C131-4631-8156-167E20C2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82"/>
    <w:pPr>
      <w:spacing w:after="160" w:line="259" w:lineRule="auto"/>
    </w:pPr>
    <w:rPr>
      <w:sz w:val="22"/>
      <w:szCs w:val="22"/>
      <w:lang w:val="en-AU"/>
    </w:rPr>
  </w:style>
  <w:style w:type="paragraph" w:styleId="Heading1">
    <w:name w:val="heading 1"/>
    <w:aliases w:val="_Heading 1"/>
    <w:basedOn w:val="ABB-x-Heading"/>
    <w:next w:val="Body"/>
    <w:link w:val="Heading1Char"/>
    <w:uiPriority w:val="2"/>
    <w:qFormat/>
    <w:rsid w:val="00047D9B"/>
    <w:pPr>
      <w:spacing w:before="320" w:after="4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047D9B"/>
    <w:pPr>
      <w:spacing w:before="320" w:after="40" w:line="240" w:lineRule="auto"/>
      <w:outlineLvl w:val="1"/>
    </w:pPr>
    <w:rPr>
      <w:sz w:val="32"/>
      <w:szCs w:val="26"/>
    </w:rPr>
  </w:style>
  <w:style w:type="paragraph" w:styleId="Heading3">
    <w:name w:val="heading 3"/>
    <w:aliases w:val="_Heading 3"/>
    <w:basedOn w:val="ABB-x-Heading"/>
    <w:next w:val="Body"/>
    <w:link w:val="Heading3Char"/>
    <w:uiPriority w:val="2"/>
    <w:qFormat/>
    <w:rsid w:val="00047D9B"/>
    <w:pPr>
      <w:spacing w:before="320" w:after="4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8940E3"/>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47D9B"/>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047D9B"/>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047D9B"/>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232219"/>
  </w:style>
  <w:style w:type="character" w:customStyle="1" w:styleId="HeaderChar">
    <w:name w:val="Header Char"/>
    <w:basedOn w:val="DefaultParagraphFont"/>
    <w:link w:val="Header"/>
    <w:uiPriority w:val="48"/>
    <w:semiHidden/>
    <w:rsid w:val="00232219"/>
    <w:rPr>
      <w:caps/>
      <w:spacing w:val="16"/>
      <w:kern w:val="12"/>
      <w:sz w:val="16"/>
      <w:lang w:val="en-US"/>
    </w:rPr>
  </w:style>
  <w:style w:type="paragraph" w:styleId="Footer">
    <w:name w:val="footer"/>
    <w:basedOn w:val="ABB-x-HeaderFooter"/>
    <w:link w:val="FooterChar"/>
    <w:uiPriority w:val="48"/>
    <w:rsid w:val="00CB4EE6"/>
    <w:pPr>
      <w:spacing w:line="240" w:lineRule="auto"/>
    </w:pPr>
    <w:rPr>
      <w:caps w:val="0"/>
      <w:spacing w:val="0"/>
    </w:rPr>
  </w:style>
  <w:style w:type="character" w:customStyle="1" w:styleId="FooterChar">
    <w:name w:val="Footer Char"/>
    <w:basedOn w:val="DefaultParagraphFont"/>
    <w:link w:val="Footer"/>
    <w:uiPriority w:val="48"/>
    <w:rsid w:val="00CB4EE6"/>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232219"/>
    <w:pPr>
      <w:tabs>
        <w:tab w:val="right" w:pos="9356"/>
      </w:tabs>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99454A"/>
    <w:pPr>
      <w:spacing w:after="100"/>
    </w:p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C056C8"/>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23221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CB4EE6"/>
    <w:pPr>
      <w:spacing w:after="26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823579"/>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character" w:customStyle="1" w:styleId="TableTextChar">
    <w:name w:val="Table Text Char"/>
    <w:basedOn w:val="DefaultParagraphFont"/>
    <w:link w:val="TableText0"/>
    <w:uiPriority w:val="2"/>
    <w:locked/>
    <w:rsid w:val="0004141A"/>
    <w:rPr>
      <w:lang w:eastAsia="en-NZ"/>
    </w:rPr>
  </w:style>
  <w:style w:type="paragraph" w:customStyle="1" w:styleId="TableText0">
    <w:name w:val="Table Text"/>
    <w:basedOn w:val="Normal"/>
    <w:link w:val="TableTextChar"/>
    <w:uiPriority w:val="2"/>
    <w:rsid w:val="0004141A"/>
    <w:pPr>
      <w:spacing w:after="0" w:line="230" w:lineRule="atLeast"/>
    </w:pPr>
    <w:rPr>
      <w:sz w:val="19"/>
      <w:szCs w:val="19"/>
      <w:lang w:val="de-DE" w:eastAsia="en-NZ"/>
    </w:rPr>
  </w:style>
  <w:style w:type="character" w:customStyle="1" w:styleId="TableSolidFillH1Char">
    <w:name w:val="Table Solid Fill H1 Char"/>
    <w:basedOn w:val="DefaultParagraphFont"/>
    <w:link w:val="TableSolidFillH1"/>
    <w:locked/>
    <w:rsid w:val="0004141A"/>
    <w:rPr>
      <w:b/>
      <w:bCs/>
      <w:color w:val="FFFFFF"/>
      <w:lang w:eastAsia="en-NZ"/>
    </w:rPr>
  </w:style>
  <w:style w:type="paragraph" w:customStyle="1" w:styleId="TableSolidFillH1">
    <w:name w:val="Table Solid Fill H1"/>
    <w:basedOn w:val="Normal"/>
    <w:link w:val="TableSolidFillH1Char"/>
    <w:rsid w:val="0004141A"/>
    <w:pPr>
      <w:spacing w:after="0" w:line="230" w:lineRule="atLeast"/>
    </w:pPr>
    <w:rPr>
      <w:b/>
      <w:bCs/>
      <w:color w:val="FFFFFF"/>
      <w:sz w:val="19"/>
      <w:szCs w:val="19"/>
      <w:lang w:val="de-DE"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joglo\AppData\Local\Microsoft\Windows\Temporary%20Internet%20Files\Content.IE5\22BRI4FU\ABB%20Basic.dotx" TargetMode="External"/></Relationship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B8CD-E935-4A6D-BC2A-AB7D5EA0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Basic.dotx</Template>
  <TotalTime>11</TotalTime>
  <Pages>2</Pages>
  <Words>457</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Glover</dc:creator>
  <cp:lastModifiedBy>Jody Glover</cp:lastModifiedBy>
  <cp:revision>11</cp:revision>
  <cp:lastPrinted>2019-01-30T04:55:00Z</cp:lastPrinted>
  <dcterms:created xsi:type="dcterms:W3CDTF">2019-04-01T01:39:00Z</dcterms:created>
  <dcterms:modified xsi:type="dcterms:W3CDTF">2019-04-01T01:53:00Z</dcterms:modified>
</cp:coreProperties>
</file>