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81" w:rsidRDefault="00D00681" w:rsidP="00D00681">
      <w:pPr>
        <w:pStyle w:val="NoSpacing"/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CD5514"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121E7071" wp14:editId="34CC584C">
            <wp:extent cx="1905000" cy="4187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81" w:rsidRDefault="00D00681" w:rsidP="00D00681">
      <w:pPr>
        <w:pStyle w:val="NoSpacing"/>
        <w:ind w:left="6480"/>
      </w:pPr>
      <w:r>
        <w:t xml:space="preserve">  Thomas and Betts Corporation </w:t>
      </w:r>
    </w:p>
    <w:p w:rsidR="00D00681" w:rsidRDefault="00D00681" w:rsidP="00D006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7045F">
        <w:t>860 Ridge Lake Blvd.</w:t>
      </w:r>
    </w:p>
    <w:p w:rsidR="00D00681" w:rsidRDefault="00D00681" w:rsidP="00D00681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45F">
        <w:t>Memphis, TN 38120</w:t>
      </w:r>
      <w:r>
        <w:t xml:space="preserve"> </w:t>
      </w:r>
    </w:p>
    <w:p w:rsidR="007F25D0" w:rsidRPr="000E3481" w:rsidRDefault="00D00681" w:rsidP="000E3481">
      <w:pPr>
        <w:pStyle w:val="NoSpacing"/>
        <w:jc w:val="right"/>
      </w:pPr>
      <w:r>
        <w:tab/>
      </w:r>
      <w:r>
        <w:tab/>
      </w:r>
      <w:r w:rsidR="000E3481">
        <w:tab/>
      </w:r>
      <w:r w:rsidR="000E3481">
        <w:tab/>
      </w:r>
      <w:r w:rsidR="000E3481">
        <w:tab/>
      </w:r>
      <w:r w:rsidR="000E3481">
        <w:tab/>
      </w:r>
      <w:r w:rsidR="000E3481">
        <w:tab/>
      </w:r>
      <w:r w:rsidR="000E3481">
        <w:tab/>
      </w:r>
      <w:r w:rsidR="000E3481">
        <w:tab/>
      </w:r>
      <w:r w:rsidR="000E3481">
        <w:tab/>
      </w:r>
      <w:r w:rsidR="000E3481">
        <w:tab/>
        <w:t xml:space="preserve">  (901)252-5000</w:t>
      </w:r>
      <w:r w:rsidR="000E3481">
        <w:tab/>
      </w:r>
      <w:r w:rsidR="000E3481">
        <w:tab/>
      </w:r>
      <w:r w:rsidR="000E3481">
        <w:tab/>
      </w:r>
      <w:r w:rsidR="000E3481">
        <w:tab/>
      </w:r>
      <w:r w:rsidR="000E3481">
        <w:tab/>
      </w:r>
      <w:r w:rsidR="000E3481">
        <w:tab/>
      </w:r>
    </w:p>
    <w:p w:rsidR="005F3AB4" w:rsidRPr="000E3481" w:rsidRDefault="00A43F69" w:rsidP="00D7045F">
      <w:pPr>
        <w:pStyle w:val="NoSpacing"/>
        <w:jc w:val="right"/>
        <w:rPr>
          <w:rFonts w:cstheme="minorHAnsi"/>
        </w:rPr>
      </w:pPr>
      <w:r w:rsidRPr="000E3481">
        <w:rPr>
          <w:rFonts w:cstheme="minorHAnsi"/>
        </w:rPr>
        <w:t>August 15</w:t>
      </w:r>
      <w:r w:rsidR="00D7045F" w:rsidRPr="000E3481">
        <w:rPr>
          <w:rFonts w:cstheme="minorHAnsi"/>
        </w:rPr>
        <w:t>, 2018</w:t>
      </w:r>
    </w:p>
    <w:p w:rsidR="00D041BB" w:rsidRPr="000E3481" w:rsidRDefault="00D041BB" w:rsidP="00F64028">
      <w:pPr>
        <w:pStyle w:val="NoSpacing"/>
        <w:rPr>
          <w:rFonts w:cstheme="minorHAnsi"/>
        </w:rPr>
      </w:pPr>
    </w:p>
    <w:p w:rsidR="0093337B" w:rsidRPr="000E3481" w:rsidRDefault="00B57DB2" w:rsidP="004866A6">
      <w:pPr>
        <w:shd w:val="clear" w:color="auto" w:fill="FFFFFF"/>
        <w:rPr>
          <w:rFonts w:eastAsia="Times New Roman" w:cstheme="minorHAnsi"/>
          <w:bCs/>
          <w:noProof/>
          <w:color w:val="000000"/>
        </w:rPr>
      </w:pPr>
      <w:bookmarkStart w:id="0" w:name="_MailAutoSig"/>
      <w:r w:rsidRPr="000E3481">
        <w:rPr>
          <w:rFonts w:eastAsia="Times New Roman" w:cstheme="minorHAnsi"/>
          <w:bCs/>
          <w:noProof/>
          <w:color w:val="000000"/>
        </w:rPr>
        <w:t>To: ABB Sales and Support Teams</w:t>
      </w:r>
    </w:p>
    <w:p w:rsidR="002D2FE2" w:rsidRPr="000E3481" w:rsidRDefault="00B57DB2" w:rsidP="00B57DB2">
      <w:p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 xml:space="preserve">Hi-Tech Current Limiting Fuses are a great value add solution as they promote safety not only for equipment, but utility personnel and the public as well. </w:t>
      </w:r>
      <w:r w:rsidR="002D2FE2" w:rsidRPr="000E3481">
        <w:rPr>
          <w:rFonts w:cstheme="minorHAnsi"/>
          <w:color w:val="1C2F3A"/>
        </w:rPr>
        <w:t xml:space="preserve">Coupled with near 100% on time delivery, great quality, and high customer satisfaction levels now is an ideal time to accelerate promotion of what this product can do to help customers. </w:t>
      </w:r>
      <w:r w:rsidRPr="000E3481">
        <w:rPr>
          <w:rFonts w:cstheme="minorHAnsi"/>
          <w:color w:val="1C2F3A"/>
        </w:rPr>
        <w:t xml:space="preserve">To help spread awareness and provide education for </w:t>
      </w:r>
      <w:r w:rsidR="000E3481" w:rsidRPr="000E3481">
        <w:rPr>
          <w:rFonts w:cstheme="minorHAnsi"/>
          <w:color w:val="1C2F3A"/>
        </w:rPr>
        <w:t>customer’s</w:t>
      </w:r>
      <w:r w:rsidRPr="000E3481">
        <w:rPr>
          <w:rFonts w:cstheme="minorHAnsi"/>
          <w:color w:val="1C2F3A"/>
        </w:rPr>
        <w:t xml:space="preserve"> new collateral is now available </w:t>
      </w:r>
      <w:r w:rsidR="002D2FE2" w:rsidRPr="000E3481">
        <w:rPr>
          <w:rFonts w:cstheme="minorHAnsi"/>
          <w:color w:val="1C2F3A"/>
        </w:rPr>
        <w:t xml:space="preserve">for download via the links below in this communication. Make sure to review and understand the included pieces of literature </w:t>
      </w:r>
      <w:r w:rsidRPr="000E3481">
        <w:rPr>
          <w:rFonts w:cstheme="minorHAnsi"/>
          <w:color w:val="1C2F3A"/>
        </w:rPr>
        <w:t xml:space="preserve">to present </w:t>
      </w:r>
      <w:r w:rsidR="002D2FE2" w:rsidRPr="000E3481">
        <w:rPr>
          <w:rFonts w:cstheme="minorHAnsi"/>
          <w:color w:val="1C2F3A"/>
        </w:rPr>
        <w:t>Hi-Tech fuse</w:t>
      </w:r>
      <w:r w:rsidRPr="000E3481">
        <w:rPr>
          <w:rFonts w:cstheme="minorHAnsi"/>
          <w:color w:val="1C2F3A"/>
        </w:rPr>
        <w:t xml:space="preserve"> value to your customers as well as critical information on fuse specification to make sure the right product is being used for the application at hand.</w:t>
      </w:r>
      <w:r w:rsidRPr="000E3481">
        <w:rPr>
          <w:rFonts w:cstheme="minorHAnsi"/>
          <w:color w:val="1C2F3A"/>
        </w:rPr>
        <w:br/>
      </w:r>
      <w:r w:rsidRPr="000E3481">
        <w:rPr>
          <w:rFonts w:cstheme="minorHAnsi"/>
          <w:color w:val="1C2F3A"/>
        </w:rPr>
        <w:br/>
        <w:t>Included in the</w:t>
      </w:r>
      <w:r w:rsidR="007405B5" w:rsidRPr="000E3481">
        <w:rPr>
          <w:rFonts w:cstheme="minorHAnsi"/>
          <w:color w:val="1C2F3A"/>
        </w:rPr>
        <w:t xml:space="preserve"> associated</w:t>
      </w:r>
      <w:r w:rsidRPr="000E3481">
        <w:rPr>
          <w:rFonts w:cstheme="minorHAnsi"/>
          <w:color w:val="1C2F3A"/>
        </w:rPr>
        <w:t xml:space="preserve"> links </w:t>
      </w:r>
      <w:r w:rsidR="007405B5" w:rsidRPr="000E3481">
        <w:rPr>
          <w:rFonts w:cstheme="minorHAnsi"/>
          <w:color w:val="1C2F3A"/>
        </w:rPr>
        <w:t xml:space="preserve">in this communication </w:t>
      </w:r>
      <w:r w:rsidRPr="000E3481">
        <w:rPr>
          <w:rFonts w:cstheme="minorHAnsi"/>
          <w:color w:val="1C2F3A"/>
        </w:rPr>
        <w:t>are</w:t>
      </w:r>
      <w:r w:rsidR="002D2FE2" w:rsidRPr="000E3481">
        <w:rPr>
          <w:rFonts w:cstheme="minorHAnsi"/>
          <w:color w:val="1C2F3A"/>
        </w:rPr>
        <w:t>:</w:t>
      </w:r>
    </w:p>
    <w:p w:rsidR="00E57D4B" w:rsidRPr="000E3481" w:rsidRDefault="00E57D4B" w:rsidP="00E57D4B">
      <w:pPr>
        <w:pStyle w:val="ListParagraph"/>
        <w:numPr>
          <w:ilvl w:val="0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b/>
          <w:color w:val="1C2F3A"/>
        </w:rPr>
        <w:t>New</w:t>
      </w:r>
      <w:r w:rsidRPr="000E3481">
        <w:rPr>
          <w:rFonts w:cstheme="minorHAnsi"/>
          <w:color w:val="1C2F3A"/>
        </w:rPr>
        <w:t xml:space="preserve"> white paper that covers application and specification of current limiting fuses</w:t>
      </w:r>
    </w:p>
    <w:p w:rsidR="00E57D4B" w:rsidRPr="000E3481" w:rsidRDefault="00E57D4B" w:rsidP="00E57D4B">
      <w:pPr>
        <w:pStyle w:val="ListParagraph"/>
        <w:numPr>
          <w:ilvl w:val="0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>New and updated customer presentations</w:t>
      </w:r>
    </w:p>
    <w:p w:rsidR="00E57D4B" w:rsidRPr="000E3481" w:rsidRDefault="00E57D4B" w:rsidP="00E57D4B">
      <w:pPr>
        <w:pStyle w:val="ListParagraph"/>
        <w:numPr>
          <w:ilvl w:val="1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b/>
          <w:color w:val="1C2F3A"/>
        </w:rPr>
        <w:t>New</w:t>
      </w:r>
      <w:r w:rsidRPr="000E3481">
        <w:rPr>
          <w:rFonts w:cstheme="minorHAnsi"/>
          <w:color w:val="1C2F3A"/>
        </w:rPr>
        <w:t xml:space="preserve"> technical presentation on current-limiting fuses which cover what they are, how they work, common applications, and product portfolio review</w:t>
      </w:r>
    </w:p>
    <w:p w:rsidR="00E57D4B" w:rsidRPr="000E3481" w:rsidRDefault="00E57D4B" w:rsidP="00E57D4B">
      <w:pPr>
        <w:pStyle w:val="ListParagraph"/>
        <w:numPr>
          <w:ilvl w:val="1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b/>
          <w:color w:val="1C2F3A"/>
        </w:rPr>
        <w:t>Updated</w:t>
      </w:r>
      <w:r w:rsidRPr="000E3481">
        <w:rPr>
          <w:rFonts w:cstheme="minorHAnsi"/>
          <w:color w:val="1C2F3A"/>
        </w:rPr>
        <w:t xml:space="preserve"> value proposition to showcase the value added feature Hi-Tech fuses provide.</w:t>
      </w:r>
    </w:p>
    <w:p w:rsidR="007405B5" w:rsidRPr="000E3481" w:rsidRDefault="007405B5" w:rsidP="007405B5">
      <w:pPr>
        <w:pStyle w:val="ListParagraph"/>
        <w:numPr>
          <w:ilvl w:val="0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>6 Case studies</w:t>
      </w:r>
    </w:p>
    <w:p w:rsidR="007405B5" w:rsidRPr="000E3481" w:rsidRDefault="007405B5" w:rsidP="007405B5">
      <w:pPr>
        <w:pStyle w:val="ListParagraph"/>
        <w:numPr>
          <w:ilvl w:val="1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 xml:space="preserve">In particular note the Current-limiting fuse arc voltage and its role in reducing voltage dips paper as this explains how fuses can prevent a common </w:t>
      </w:r>
      <w:r w:rsidR="000E3481" w:rsidRPr="000E3481">
        <w:rPr>
          <w:rFonts w:cstheme="minorHAnsi"/>
          <w:color w:val="1C2F3A"/>
        </w:rPr>
        <w:t>phenomenon</w:t>
      </w:r>
      <w:r w:rsidRPr="000E3481">
        <w:rPr>
          <w:rFonts w:cstheme="minorHAnsi"/>
          <w:color w:val="1C2F3A"/>
        </w:rPr>
        <w:t xml:space="preserve"> that end users see and can help utilities increase customer satisfaction.</w:t>
      </w:r>
    </w:p>
    <w:p w:rsidR="007405B5" w:rsidRPr="000E3481" w:rsidRDefault="007405B5" w:rsidP="007405B5">
      <w:pPr>
        <w:pStyle w:val="ListParagraph"/>
        <w:numPr>
          <w:ilvl w:val="0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>The current Hi-Tech Current Limiting Fuse Catalog</w:t>
      </w:r>
    </w:p>
    <w:p w:rsidR="007405B5" w:rsidRPr="000E3481" w:rsidRDefault="007405B5" w:rsidP="00A53E04">
      <w:pPr>
        <w:pStyle w:val="ListParagraph"/>
        <w:numPr>
          <w:ilvl w:val="0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>4 cross reference and specification aides</w:t>
      </w:r>
    </w:p>
    <w:p w:rsidR="007405B5" w:rsidRPr="000E3481" w:rsidRDefault="007405B5" w:rsidP="007405B5">
      <w:pPr>
        <w:pStyle w:val="ListParagraph"/>
        <w:numPr>
          <w:ilvl w:val="0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 xml:space="preserve">Sample fuse specification file </w:t>
      </w:r>
    </w:p>
    <w:p w:rsidR="007405B5" w:rsidRPr="000E3481" w:rsidRDefault="007405B5" w:rsidP="007405B5">
      <w:pPr>
        <w:pStyle w:val="ListParagraph"/>
        <w:numPr>
          <w:ilvl w:val="1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>Great tool to help users develop an out of the box fuse spec for their systems</w:t>
      </w:r>
      <w:r w:rsidR="00FC74B7" w:rsidRPr="000E3481">
        <w:rPr>
          <w:rFonts w:cstheme="minorHAnsi"/>
          <w:color w:val="1C2F3A"/>
        </w:rPr>
        <w:t xml:space="preserve"> so they can start using fuses or to improve their current specifications</w:t>
      </w:r>
    </w:p>
    <w:p w:rsidR="007405B5" w:rsidRPr="000E3481" w:rsidRDefault="00FC74B7" w:rsidP="007405B5">
      <w:pPr>
        <w:pStyle w:val="ListParagraph"/>
        <w:numPr>
          <w:ilvl w:val="0"/>
          <w:numId w:val="2"/>
        </w:numPr>
        <w:rPr>
          <w:rFonts w:cstheme="minorHAnsi"/>
          <w:color w:val="1C2F3A"/>
        </w:rPr>
      </w:pPr>
      <w:r w:rsidRPr="000E3481">
        <w:rPr>
          <w:rFonts w:cstheme="minorHAnsi"/>
          <w:color w:val="1C2F3A"/>
        </w:rPr>
        <w:t xml:space="preserve">Brochure highlighting a unique product to Hi-Tech, the </w:t>
      </w:r>
      <w:r w:rsidR="007405B5" w:rsidRPr="000E3481">
        <w:rPr>
          <w:rFonts w:cstheme="minorHAnsi"/>
          <w:color w:val="1C2F3A"/>
        </w:rPr>
        <w:t xml:space="preserve">TRANS-GUARD® EXT current-limiting backup fuse </w:t>
      </w:r>
      <w:r w:rsidRPr="000E3481">
        <w:rPr>
          <w:rFonts w:cstheme="minorHAnsi"/>
          <w:color w:val="1C2F3A"/>
        </w:rPr>
        <w:t xml:space="preserve">for </w:t>
      </w:r>
      <w:r w:rsidR="007405B5" w:rsidRPr="000E3481">
        <w:rPr>
          <w:rFonts w:cstheme="minorHAnsi"/>
          <w:color w:val="1C2F3A"/>
        </w:rPr>
        <w:t>46KV - 138KV systems</w:t>
      </w:r>
    </w:p>
    <w:p w:rsidR="004866A6" w:rsidRPr="000E3481" w:rsidRDefault="00CC4E76" w:rsidP="004866A6">
      <w:pPr>
        <w:pStyle w:val="NoSpacing"/>
        <w:rPr>
          <w:rFonts w:cstheme="minorHAnsi"/>
          <w:noProof/>
        </w:rPr>
      </w:pPr>
      <w:r w:rsidRPr="000E3481">
        <w:rPr>
          <w:rFonts w:cstheme="minorHAnsi"/>
          <w:noProof/>
        </w:rPr>
        <w:t>Michael Valenza</w:t>
      </w:r>
    </w:p>
    <w:p w:rsidR="00723D3E" w:rsidRPr="000E3481" w:rsidRDefault="00723D3E" w:rsidP="004866A6">
      <w:pPr>
        <w:pStyle w:val="NoSpacing"/>
        <w:rPr>
          <w:rFonts w:cstheme="minorHAnsi"/>
          <w:noProof/>
          <w:color w:val="222222"/>
        </w:rPr>
      </w:pPr>
    </w:p>
    <w:p w:rsidR="004866A6" w:rsidRPr="000E3481" w:rsidRDefault="005E527A" w:rsidP="004866A6">
      <w:pPr>
        <w:pStyle w:val="NoSpacing"/>
        <w:rPr>
          <w:rFonts w:cstheme="minorHAnsi"/>
          <w:noProof/>
          <w:color w:val="222222"/>
        </w:rPr>
      </w:pPr>
      <w:r w:rsidRPr="000E3481">
        <w:rPr>
          <w:rFonts w:cstheme="minorHAnsi"/>
          <w:noProof/>
        </w:rPr>
        <w:t xml:space="preserve">Sr. </w:t>
      </w:r>
      <w:r w:rsidR="004866A6" w:rsidRPr="000E3481">
        <w:rPr>
          <w:rFonts w:cstheme="minorHAnsi"/>
          <w:noProof/>
        </w:rPr>
        <w:t xml:space="preserve">Product </w:t>
      </w:r>
      <w:r w:rsidR="00CC4E76" w:rsidRPr="000E3481">
        <w:rPr>
          <w:rFonts w:cstheme="minorHAnsi"/>
          <w:noProof/>
        </w:rPr>
        <w:t xml:space="preserve">Marketing </w:t>
      </w:r>
      <w:r w:rsidR="004866A6" w:rsidRPr="000E3481">
        <w:rPr>
          <w:rFonts w:cstheme="minorHAnsi"/>
          <w:noProof/>
        </w:rPr>
        <w:t>Manager</w:t>
      </w:r>
    </w:p>
    <w:p w:rsidR="004866A6" w:rsidRPr="000E3481" w:rsidRDefault="004866A6" w:rsidP="004866A6">
      <w:pPr>
        <w:pStyle w:val="NoSpacing"/>
        <w:rPr>
          <w:rFonts w:cstheme="minorHAnsi"/>
          <w:noProof/>
          <w:color w:val="222222"/>
        </w:rPr>
      </w:pPr>
      <w:r w:rsidRPr="000E3481">
        <w:rPr>
          <w:rFonts w:cstheme="minorHAnsi"/>
          <w:noProof/>
        </w:rPr>
        <w:t>Elastimold / Hi-Tech / Fisher Pierce   </w:t>
      </w:r>
    </w:p>
    <w:p w:rsidR="004866A6" w:rsidRPr="000E3481" w:rsidRDefault="004866A6" w:rsidP="004866A6">
      <w:pPr>
        <w:pStyle w:val="NoSpacing"/>
        <w:rPr>
          <w:rFonts w:cstheme="minorHAnsi"/>
          <w:noProof/>
          <w:color w:val="222222"/>
        </w:rPr>
      </w:pPr>
      <w:r w:rsidRPr="000E3481">
        <w:rPr>
          <w:rFonts w:cstheme="minorHAnsi"/>
          <w:noProof/>
          <w:color w:val="222222"/>
        </w:rPr>
        <w:t>Email: </w:t>
      </w:r>
      <w:hyperlink r:id="rId7" w:history="1">
        <w:r w:rsidR="00CC4E76" w:rsidRPr="000E3481">
          <w:rPr>
            <w:rStyle w:val="Hyperlink"/>
            <w:rFonts w:eastAsia="Times New Roman" w:cstheme="minorHAnsi"/>
            <w:noProof/>
          </w:rPr>
          <w:t>michael.valenza@tnb.com</w:t>
        </w:r>
      </w:hyperlink>
    </w:p>
    <w:p w:rsidR="00F5496E" w:rsidRPr="00F5496E" w:rsidRDefault="004866A6" w:rsidP="00A272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3481">
        <w:rPr>
          <w:rFonts w:cstheme="minorHAnsi"/>
          <w:noProof/>
          <w:color w:val="222222"/>
        </w:rPr>
        <w:t>Office: </w:t>
      </w:r>
      <w:hyperlink r:id="rId8" w:tgtFrame="_blank" w:history="1">
        <w:r w:rsidRPr="000E3481">
          <w:rPr>
            <w:rStyle w:val="Hyperlink"/>
            <w:rFonts w:eastAsia="Times New Roman" w:cstheme="minorHAnsi"/>
            <w:noProof/>
            <w:color w:val="1155CC"/>
          </w:rPr>
          <w:t>901.252.</w:t>
        </w:r>
        <w:r w:rsidR="00CC4E76" w:rsidRPr="000E3481">
          <w:rPr>
            <w:rStyle w:val="Hyperlink"/>
            <w:rFonts w:eastAsia="Times New Roman" w:cstheme="minorHAnsi"/>
            <w:noProof/>
            <w:color w:val="1155CC"/>
          </w:rPr>
          <w:t>5486</w:t>
        </w:r>
      </w:hyperlink>
      <w:bookmarkEnd w:id="0"/>
    </w:p>
    <w:sectPr w:rsidR="00F5496E" w:rsidRPr="00F5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708"/>
    <w:multiLevelType w:val="hybridMultilevel"/>
    <w:tmpl w:val="D9EC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1E06"/>
    <w:multiLevelType w:val="hybridMultilevel"/>
    <w:tmpl w:val="2562913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8"/>
    <w:rsid w:val="0000245F"/>
    <w:rsid w:val="000126D8"/>
    <w:rsid w:val="00033A03"/>
    <w:rsid w:val="00033FF5"/>
    <w:rsid w:val="00055FED"/>
    <w:rsid w:val="00094227"/>
    <w:rsid w:val="000E3481"/>
    <w:rsid w:val="00135753"/>
    <w:rsid w:val="001452F3"/>
    <w:rsid w:val="00150A8E"/>
    <w:rsid w:val="00164675"/>
    <w:rsid w:val="00166E4B"/>
    <w:rsid w:val="00175F34"/>
    <w:rsid w:val="001A33CA"/>
    <w:rsid w:val="001B2FAD"/>
    <w:rsid w:val="001E29FB"/>
    <w:rsid w:val="001E6C5E"/>
    <w:rsid w:val="00235657"/>
    <w:rsid w:val="00274410"/>
    <w:rsid w:val="002810CE"/>
    <w:rsid w:val="00283C5C"/>
    <w:rsid w:val="0028532A"/>
    <w:rsid w:val="002A23B7"/>
    <w:rsid w:val="002B1F3E"/>
    <w:rsid w:val="002C3FAA"/>
    <w:rsid w:val="002D2A88"/>
    <w:rsid w:val="002D2FE2"/>
    <w:rsid w:val="00362D4C"/>
    <w:rsid w:val="00364601"/>
    <w:rsid w:val="003B4F82"/>
    <w:rsid w:val="003C0198"/>
    <w:rsid w:val="003C11DF"/>
    <w:rsid w:val="003E3137"/>
    <w:rsid w:val="00414509"/>
    <w:rsid w:val="00435596"/>
    <w:rsid w:val="004360EC"/>
    <w:rsid w:val="0045100E"/>
    <w:rsid w:val="0045495E"/>
    <w:rsid w:val="00460121"/>
    <w:rsid w:val="00481F6D"/>
    <w:rsid w:val="004866A6"/>
    <w:rsid w:val="004E5F9B"/>
    <w:rsid w:val="0051277D"/>
    <w:rsid w:val="0053278E"/>
    <w:rsid w:val="00562DA6"/>
    <w:rsid w:val="00596FAE"/>
    <w:rsid w:val="005B1E32"/>
    <w:rsid w:val="005E527A"/>
    <w:rsid w:val="005E5643"/>
    <w:rsid w:val="005E6F2A"/>
    <w:rsid w:val="005F3AB4"/>
    <w:rsid w:val="005F6226"/>
    <w:rsid w:val="0063291A"/>
    <w:rsid w:val="006573C3"/>
    <w:rsid w:val="00667312"/>
    <w:rsid w:val="00671B9A"/>
    <w:rsid w:val="0067551C"/>
    <w:rsid w:val="006B55B0"/>
    <w:rsid w:val="006E25C0"/>
    <w:rsid w:val="006E33D5"/>
    <w:rsid w:val="00723D3E"/>
    <w:rsid w:val="007405B5"/>
    <w:rsid w:val="007538AB"/>
    <w:rsid w:val="00767384"/>
    <w:rsid w:val="00795EEF"/>
    <w:rsid w:val="007F25D0"/>
    <w:rsid w:val="007F509C"/>
    <w:rsid w:val="008124A8"/>
    <w:rsid w:val="00827F2B"/>
    <w:rsid w:val="00843F4B"/>
    <w:rsid w:val="00855920"/>
    <w:rsid w:val="0086223E"/>
    <w:rsid w:val="0086569E"/>
    <w:rsid w:val="00872696"/>
    <w:rsid w:val="008937B4"/>
    <w:rsid w:val="008B647D"/>
    <w:rsid w:val="008E3DAC"/>
    <w:rsid w:val="008F3567"/>
    <w:rsid w:val="008F595E"/>
    <w:rsid w:val="00907BE0"/>
    <w:rsid w:val="00912B98"/>
    <w:rsid w:val="00932C54"/>
    <w:rsid w:val="0093337B"/>
    <w:rsid w:val="0093730B"/>
    <w:rsid w:val="00952CD6"/>
    <w:rsid w:val="009579AD"/>
    <w:rsid w:val="009731E8"/>
    <w:rsid w:val="009942A8"/>
    <w:rsid w:val="00996E26"/>
    <w:rsid w:val="009A0ECA"/>
    <w:rsid w:val="009C3E54"/>
    <w:rsid w:val="00A272B3"/>
    <w:rsid w:val="00A43F69"/>
    <w:rsid w:val="00A80926"/>
    <w:rsid w:val="00AC1CE6"/>
    <w:rsid w:val="00AF5EE9"/>
    <w:rsid w:val="00B175C5"/>
    <w:rsid w:val="00B57DB2"/>
    <w:rsid w:val="00BE08F3"/>
    <w:rsid w:val="00C038EC"/>
    <w:rsid w:val="00C33E18"/>
    <w:rsid w:val="00C61C6E"/>
    <w:rsid w:val="00C90824"/>
    <w:rsid w:val="00CB620B"/>
    <w:rsid w:val="00CC1FAB"/>
    <w:rsid w:val="00CC4E76"/>
    <w:rsid w:val="00CD1875"/>
    <w:rsid w:val="00CD5514"/>
    <w:rsid w:val="00CD7373"/>
    <w:rsid w:val="00CE1D7B"/>
    <w:rsid w:val="00CE7898"/>
    <w:rsid w:val="00CF16A9"/>
    <w:rsid w:val="00CF1761"/>
    <w:rsid w:val="00D00681"/>
    <w:rsid w:val="00D041BB"/>
    <w:rsid w:val="00D25CF2"/>
    <w:rsid w:val="00D338D0"/>
    <w:rsid w:val="00D7045F"/>
    <w:rsid w:val="00DA3D85"/>
    <w:rsid w:val="00DF41B4"/>
    <w:rsid w:val="00E05024"/>
    <w:rsid w:val="00E06F68"/>
    <w:rsid w:val="00E13AA4"/>
    <w:rsid w:val="00E37531"/>
    <w:rsid w:val="00E57D4B"/>
    <w:rsid w:val="00E71B65"/>
    <w:rsid w:val="00E95972"/>
    <w:rsid w:val="00EB0586"/>
    <w:rsid w:val="00EC3433"/>
    <w:rsid w:val="00ED0135"/>
    <w:rsid w:val="00F339A2"/>
    <w:rsid w:val="00F36407"/>
    <w:rsid w:val="00F37200"/>
    <w:rsid w:val="00F5496E"/>
    <w:rsid w:val="00F64028"/>
    <w:rsid w:val="00F762AC"/>
    <w:rsid w:val="00F8439F"/>
    <w:rsid w:val="00FB1460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A2C5"/>
  <w15:docId w15:val="{9C227930-0CE8-4A46-8E33-04C4DB7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0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0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uiPriority w:val="1"/>
    <w:qFormat/>
    <w:rsid w:val="00F640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A8E"/>
    <w:pPr>
      <w:ind w:left="720"/>
      <w:contextualSpacing/>
    </w:pPr>
  </w:style>
  <w:style w:type="table" w:styleId="TableGrid">
    <w:name w:val="Table Grid"/>
    <w:basedOn w:val="TableNormal"/>
    <w:uiPriority w:val="39"/>
    <w:rsid w:val="007F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ayne.boyd@tnb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.valenza@tn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B1BD-3D3A-4FA9-870C-6FBCBF5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DeWayne Boyd</dc:creator>
  <cp:lastModifiedBy>Carrie Sherwood</cp:lastModifiedBy>
  <cp:revision>2</cp:revision>
  <cp:lastPrinted>2016-06-24T21:55:00Z</cp:lastPrinted>
  <dcterms:created xsi:type="dcterms:W3CDTF">2018-08-15T20:40:00Z</dcterms:created>
  <dcterms:modified xsi:type="dcterms:W3CDTF">2018-08-15T20:40:00Z</dcterms:modified>
</cp:coreProperties>
</file>