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0" w:after="0"/>
        <w:rPr>
          <w:color w:val="0043a6"/>
          <w:sz w:val="44"/>
          <w:szCs w:val="44"/>
          <w:u w:color="0043a6"/>
        </w:rPr>
      </w:pPr>
      <w:r>
        <w:rPr>
          <w:color w:val="0043a6"/>
          <w:sz w:val="44"/>
          <w:szCs w:val="44"/>
          <w:u w:color="0043a6"/>
          <w:rtl w:val="0"/>
          <w:lang w:val="en-US"/>
        </w:rPr>
        <w:t>ABB supports remote control and grid automation with the Internet of Things, Services and People</w:t>
      </w:r>
    </w:p>
    <w:p>
      <w:pPr>
        <w:pStyle w:val="Body"/>
        <w:spacing w:before="0" w:after="0"/>
        <w:rPr>
          <w:color w:val="0043a6"/>
          <w:sz w:val="22"/>
          <w:szCs w:val="22"/>
          <w:u w:color="0043a6"/>
        </w:rPr>
      </w:pPr>
    </w:p>
    <w:p>
      <w:pPr>
        <w:pStyle w:val="Body"/>
        <w:spacing w:before="0" w:after="0"/>
        <w:rPr>
          <w:sz w:val="22"/>
          <w:szCs w:val="22"/>
        </w:rPr>
      </w:pPr>
      <w:r>
        <w:rPr>
          <w:color w:val="002897"/>
          <w:sz w:val="22"/>
          <w:szCs w:val="22"/>
          <w:u w:color="002897"/>
          <w:rtl w:val="0"/>
        </w:rPr>
        <w:t xml:space="preserve">Dubai, April 6, 2016 </w:t>
      </w:r>
      <w:r>
        <w:rPr>
          <w:sz w:val="22"/>
          <w:szCs w:val="22"/>
          <w:rtl w:val="0"/>
        </w:rPr>
        <w:t xml:space="preserve">– </w:t>
      </w:r>
      <w:r>
        <w:rPr>
          <w:sz w:val="22"/>
          <w:szCs w:val="22"/>
          <w:rtl w:val="0"/>
          <w:lang w:val="en-US"/>
        </w:rPr>
        <w:t xml:space="preserve">ABB, the global leader in power and automation, has unveiled a number of new connected solutions and services in the area of the Internet of Things, Services and People to help deliver improved productivity, protection and energy efficiency for its low- and medium-voltage customers. </w:t>
      </w:r>
    </w:p>
    <w:p>
      <w:pPr>
        <w:pStyle w:val="Body"/>
        <w:spacing w:before="0" w:after="0"/>
        <w:rPr>
          <w:sz w:val="22"/>
          <w:szCs w:val="22"/>
        </w:rPr>
      </w:pPr>
    </w:p>
    <w:p>
      <w:pPr>
        <w:pStyle w:val="Body"/>
        <w:spacing w:before="0" w:after="0"/>
        <w:rPr>
          <w:sz w:val="22"/>
          <w:szCs w:val="22"/>
        </w:rPr>
      </w:pPr>
      <w:r>
        <w:rPr>
          <w:sz w:val="22"/>
          <w:szCs w:val="22"/>
          <w:rtl w:val="0"/>
          <w:lang w:val="en-US"/>
        </w:rPr>
        <w:t>The new solutions outlined to a group of international customers at an event in Dubai include:</w:t>
      </w:r>
    </w:p>
    <w:p>
      <w:pPr>
        <w:pStyle w:val="List Paragraph"/>
        <w:numPr>
          <w:ilvl w:val="0"/>
          <w:numId w:val="2"/>
        </w:numPr>
        <w:bidi w:val="0"/>
        <w:spacing w:before="0" w:after="0"/>
        <w:ind w:right="0"/>
        <w:jc w:val="left"/>
        <w:rPr>
          <w:sz w:val="22"/>
          <w:szCs w:val="22"/>
          <w:rtl w:val="0"/>
          <w:lang w:val="en-US"/>
        </w:rPr>
      </w:pPr>
      <w:r>
        <w:rPr>
          <w:sz w:val="22"/>
          <w:szCs w:val="22"/>
          <w:rtl w:val="0"/>
          <w:lang w:val="en-US"/>
        </w:rPr>
        <w:t>Extended Relion</w:t>
      </w:r>
      <w:r>
        <w:rPr>
          <w:sz w:val="22"/>
          <w:szCs w:val="22"/>
          <w:rtl w:val="0"/>
          <w:lang w:val="en-US"/>
        </w:rPr>
        <w:t xml:space="preserve">® </w:t>
      </w:r>
      <w:r>
        <w:rPr>
          <w:sz w:val="22"/>
          <w:szCs w:val="22"/>
          <w:rtl w:val="0"/>
          <w:lang w:val="en-US"/>
        </w:rPr>
        <w:t>protection with online user interface and IEC 61850 Edition 2 for enhanced interoperability</w:t>
      </w:r>
    </w:p>
    <w:p>
      <w:pPr>
        <w:pStyle w:val="List Paragraph"/>
        <w:numPr>
          <w:ilvl w:val="0"/>
          <w:numId w:val="2"/>
        </w:numPr>
        <w:bidi w:val="0"/>
        <w:spacing w:before="0" w:after="0"/>
        <w:ind w:right="0"/>
        <w:jc w:val="left"/>
        <w:rPr>
          <w:sz w:val="22"/>
          <w:szCs w:val="22"/>
          <w:rtl w:val="0"/>
          <w:lang w:val="en-US"/>
        </w:rPr>
      </w:pPr>
      <w:r>
        <w:rPr>
          <w:sz w:val="22"/>
          <w:szCs w:val="22"/>
          <w:rtl w:val="0"/>
          <w:lang w:val="en-US"/>
        </w:rPr>
        <w:t>Arctic - Bringing remote power distribution assets to daily reach with wireless communication</w:t>
      </w:r>
    </w:p>
    <w:p>
      <w:pPr>
        <w:pStyle w:val="List Paragraph"/>
        <w:numPr>
          <w:ilvl w:val="0"/>
          <w:numId w:val="2"/>
        </w:numPr>
        <w:bidi w:val="0"/>
        <w:spacing w:before="0" w:after="0"/>
        <w:ind w:right="0"/>
        <w:jc w:val="left"/>
        <w:rPr>
          <w:sz w:val="22"/>
          <w:szCs w:val="22"/>
          <w:rtl w:val="0"/>
          <w:lang w:val="en-US"/>
        </w:rPr>
      </w:pPr>
      <w:r>
        <w:rPr>
          <w:sz w:val="22"/>
          <w:szCs w:val="22"/>
          <w:rtl w:val="0"/>
          <w:lang w:val="en-US"/>
        </w:rPr>
        <w:t xml:space="preserve">Smart asset management service offering </w:t>
      </w:r>
      <w:r>
        <w:rPr>
          <w:sz w:val="22"/>
          <w:szCs w:val="22"/>
          <w:rtl w:val="0"/>
          <w:lang w:val="en-US"/>
        </w:rPr>
        <w:t xml:space="preserve">– </w:t>
      </w:r>
      <w:r>
        <w:rPr>
          <w:sz w:val="22"/>
          <w:szCs w:val="22"/>
          <w:rtl w:val="0"/>
          <w:lang w:val="en-US"/>
        </w:rPr>
        <w:t>low- and medium-voltage switchgear</w:t>
      </w:r>
    </w:p>
    <w:p>
      <w:pPr>
        <w:pStyle w:val="List Paragraph"/>
        <w:spacing w:before="0" w:after="0"/>
        <w:ind w:left="720" w:firstLine="0"/>
        <w:rPr>
          <w:sz w:val="22"/>
          <w:szCs w:val="22"/>
        </w:rPr>
      </w:pPr>
    </w:p>
    <w:p>
      <w:pPr>
        <w:pStyle w:val="Body"/>
        <w:spacing w:before="0" w:after="0"/>
        <w:rPr>
          <w:sz w:val="22"/>
          <w:szCs w:val="22"/>
        </w:rPr>
      </w:pPr>
      <w:r>
        <w:rPr>
          <w:sz w:val="22"/>
          <w:szCs w:val="22"/>
          <w:rtl w:val="0"/>
        </w:rPr>
        <w:t>“</w:t>
      </w:r>
      <w:r>
        <w:rPr>
          <w:sz w:val="22"/>
          <w:szCs w:val="22"/>
          <w:rtl w:val="0"/>
          <w:lang w:val="en-US"/>
        </w:rPr>
        <w:t>Our investment in research and development grows year-on-year to ensure we maintain our technology leadership in the area of low- and medium-voltage products and solutions,</w:t>
      </w:r>
      <w:r>
        <w:rPr>
          <w:sz w:val="22"/>
          <w:szCs w:val="22"/>
          <w:rtl w:val="0"/>
        </w:rPr>
        <w:t xml:space="preserve">” </w:t>
      </w:r>
      <w:r>
        <w:rPr>
          <w:sz w:val="22"/>
          <w:szCs w:val="22"/>
          <w:rtl w:val="0"/>
          <w:lang w:val="en-US"/>
        </w:rPr>
        <w:t xml:space="preserve">said Tarak Mehta, President of the Electrification Products division. </w:t>
      </w:r>
    </w:p>
    <w:p>
      <w:pPr>
        <w:pStyle w:val="Body"/>
        <w:spacing w:before="0" w:after="0"/>
        <w:rPr>
          <w:sz w:val="22"/>
          <w:szCs w:val="22"/>
        </w:rPr>
      </w:pPr>
    </w:p>
    <w:p>
      <w:pPr>
        <w:pStyle w:val="Body"/>
        <w:spacing w:before="0" w:after="0"/>
        <w:rPr>
          <w:sz w:val="22"/>
          <w:szCs w:val="22"/>
        </w:rPr>
      </w:pPr>
      <w:r>
        <w:rPr>
          <w:sz w:val="22"/>
          <w:szCs w:val="22"/>
          <w:rtl w:val="0"/>
        </w:rPr>
        <w:t>“</w:t>
      </w:r>
      <w:r>
        <w:rPr>
          <w:sz w:val="22"/>
          <w:szCs w:val="22"/>
          <w:rtl w:val="0"/>
          <w:lang w:val="en-US"/>
        </w:rPr>
        <w:t>This means research into technologies that deliver improved productivity, protection and energy efficiency for our customers, enabling them to analyze their data more intelligently, optimize their operations, boost their productivity and provide them with the ability to be more flexible.</w:t>
      </w:r>
      <w:r>
        <w:rPr>
          <w:sz w:val="22"/>
          <w:szCs w:val="22"/>
          <w:rtl w:val="0"/>
        </w:rPr>
        <w:t>”</w:t>
      </w:r>
    </w:p>
    <w:p>
      <w:pPr>
        <w:pStyle w:val="Body"/>
        <w:spacing w:before="0" w:after="0"/>
        <w:rPr>
          <w:sz w:val="22"/>
          <w:szCs w:val="22"/>
        </w:rPr>
      </w:pPr>
    </w:p>
    <w:p>
      <w:pPr>
        <w:pStyle w:val="Body"/>
        <w:spacing w:before="0" w:after="0"/>
        <w:rPr>
          <w:sz w:val="22"/>
          <w:szCs w:val="22"/>
        </w:rPr>
      </w:pPr>
      <w:r>
        <w:rPr>
          <w:sz w:val="22"/>
          <w:szCs w:val="22"/>
          <w:rtl w:val="0"/>
          <w:lang w:val="en-US"/>
        </w:rPr>
        <w:t xml:space="preserve">These technologies will be showcased at ABB's booth (Hall 11, stand A35) along with a range of other IOTSP innovations at the Hannover Messe from April 25-29. </w:t>
      </w:r>
    </w:p>
    <w:p>
      <w:pPr>
        <w:pStyle w:val="Body"/>
        <w:spacing w:before="0" w:after="0"/>
        <w:rPr>
          <w:sz w:val="22"/>
          <w:szCs w:val="22"/>
        </w:rPr>
      </w:pPr>
    </w:p>
    <w:p>
      <w:pPr>
        <w:pStyle w:val="Body"/>
        <w:spacing w:before="0" w:after="0"/>
        <w:rPr>
          <w:b w:val="1"/>
          <w:bCs w:val="1"/>
          <w:sz w:val="22"/>
          <w:szCs w:val="22"/>
        </w:rPr>
      </w:pPr>
      <w:r>
        <w:rPr>
          <w:b w:val="1"/>
          <w:bCs w:val="1"/>
          <w:sz w:val="22"/>
          <w:szCs w:val="22"/>
          <w:rtl w:val="0"/>
          <w:lang w:val="en-US"/>
        </w:rPr>
        <w:t>Extended Relion</w:t>
      </w:r>
      <w:r>
        <w:rPr>
          <w:b w:val="1"/>
          <w:bCs w:val="1"/>
          <w:sz w:val="22"/>
          <w:szCs w:val="22"/>
          <w:rtl w:val="0"/>
        </w:rPr>
        <w:t xml:space="preserve">® </w:t>
      </w:r>
      <w:r>
        <w:rPr>
          <w:b w:val="1"/>
          <w:bCs w:val="1"/>
          <w:sz w:val="22"/>
          <w:szCs w:val="22"/>
          <w:rtl w:val="0"/>
          <w:lang w:val="en-US"/>
        </w:rPr>
        <w:t>protection with online user interface and IEC 61850 Edition 2 for enhanced interoperability</w:t>
      </w:r>
    </w:p>
    <w:p>
      <w:pPr>
        <w:pStyle w:val="Body"/>
        <w:spacing w:before="0" w:after="0"/>
        <w:rPr>
          <w:sz w:val="22"/>
          <w:szCs w:val="22"/>
        </w:rPr>
      </w:pPr>
      <w:r>
        <w:rPr>
          <w:sz w:val="22"/>
          <w:szCs w:val="22"/>
          <w:rtl w:val="0"/>
        </w:rPr>
        <w:t>ABB</w:t>
      </w:r>
      <w:r>
        <w:rPr>
          <w:sz w:val="22"/>
          <w:szCs w:val="22"/>
          <w:rtl w:val="0"/>
        </w:rPr>
        <w:t>’</w:t>
      </w:r>
      <w:r>
        <w:rPr>
          <w:sz w:val="22"/>
          <w:szCs w:val="22"/>
          <w:rtl w:val="0"/>
          <w:lang w:val="en-US"/>
        </w:rPr>
        <w:t>s celebrated Relion product family offers protection, control, measurement and supervision for power systems.</w:t>
      </w:r>
      <w:r>
        <w:rPr>
          <w:sz w:val="22"/>
          <w:szCs w:val="22"/>
          <w:rtl w:val="0"/>
          <w:lang w:val="en-US"/>
        </w:rPr>
        <w:t xml:space="preserve"> </w:t>
      </w:r>
      <w:r>
        <w:rPr>
          <w:sz w:val="22"/>
          <w:szCs w:val="22"/>
          <w:rtl w:val="0"/>
          <w:lang w:val="en-US"/>
        </w:rPr>
        <w:t xml:space="preserve"> To ensure interoperable and future-proof solutions, the Relion products have been designed to implement the core values of the IEC 61850 communication standard. Recently released versions of the Relion product family</w:t>
      </w:r>
      <w:r>
        <w:rPr>
          <w:sz w:val="22"/>
          <w:szCs w:val="22"/>
          <w:rtl w:val="0"/>
        </w:rPr>
        <w:t>’</w:t>
      </w:r>
      <w:r>
        <w:rPr>
          <w:sz w:val="22"/>
          <w:szCs w:val="22"/>
          <w:rtl w:val="0"/>
          <w:lang w:val="en-US"/>
        </w:rPr>
        <w:t>s relay series also support also Edition 2 of the standard, which brings substantial benefits in terms of extended interoperability of the substation devices. To increase safety, reduce material damage and minimize system downtime, Relion protection relays offer advanced earth-fault protection, detecting faults in any cable and overhead network.</w:t>
      </w:r>
    </w:p>
    <w:p>
      <w:pPr>
        <w:pStyle w:val="Body"/>
        <w:spacing w:before="0" w:after="0"/>
        <w:rPr>
          <w:sz w:val="22"/>
          <w:szCs w:val="22"/>
        </w:rPr>
      </w:pPr>
    </w:p>
    <w:p>
      <w:pPr>
        <w:pStyle w:val="Body"/>
        <w:spacing w:before="0" w:after="0"/>
        <w:rPr>
          <w:sz w:val="22"/>
          <w:szCs w:val="22"/>
        </w:rPr>
      </w:pPr>
    </w:p>
    <w:p>
      <w:pPr>
        <w:pStyle w:val="Body"/>
        <w:spacing w:before="0" w:after="0"/>
        <w:rPr>
          <w:sz w:val="22"/>
          <w:szCs w:val="22"/>
        </w:rPr>
      </w:pPr>
    </w:p>
    <w:p>
      <w:pPr>
        <w:pStyle w:val="Body"/>
        <w:spacing w:before="0" w:after="0"/>
        <w:rPr>
          <w:sz w:val="22"/>
          <w:szCs w:val="22"/>
        </w:rPr>
      </w:pPr>
    </w:p>
    <w:p>
      <w:pPr>
        <w:pStyle w:val="Body"/>
        <w:spacing w:before="0" w:after="0"/>
        <w:rPr>
          <w:sz w:val="22"/>
          <w:szCs w:val="22"/>
        </w:rPr>
      </w:pPr>
      <w:r>
        <w:rPr>
          <w:sz w:val="22"/>
          <w:szCs w:val="22"/>
          <w:rtl w:val="0"/>
          <w:lang w:val="en-US"/>
        </w:rPr>
        <w:t>ABB has developed its newest Relion protection relays to support distributed generation with improved power flow control and voltage regulation. The updated 611 series features an enhanced online user interface for smooth relay engineering and commissioning.  With the 611 series, engineering time is minimized, as commissioning, routine testing and fault verification is easy and fast to perform.</w:t>
      </w:r>
    </w:p>
    <w:p>
      <w:pPr>
        <w:pStyle w:val="Body"/>
        <w:spacing w:before="0" w:after="0"/>
        <w:rPr>
          <w:sz w:val="22"/>
          <w:szCs w:val="22"/>
        </w:rPr>
      </w:pPr>
    </w:p>
    <w:p>
      <w:pPr>
        <w:pStyle w:val="Body"/>
        <w:spacing w:before="0" w:after="0"/>
        <w:rPr>
          <w:b w:val="1"/>
          <w:bCs w:val="1"/>
          <w:sz w:val="22"/>
          <w:szCs w:val="22"/>
        </w:rPr>
      </w:pPr>
      <w:r>
        <w:rPr>
          <w:b w:val="1"/>
          <w:bCs w:val="1"/>
          <w:sz w:val="22"/>
          <w:szCs w:val="22"/>
          <w:rtl w:val="0"/>
          <w:lang w:val="en-US"/>
        </w:rPr>
        <w:t>Arctic product family</w:t>
      </w:r>
    </w:p>
    <w:p>
      <w:pPr>
        <w:pStyle w:val="Body"/>
        <w:spacing w:before="0" w:after="0"/>
        <w:rPr>
          <w:sz w:val="22"/>
          <w:szCs w:val="22"/>
        </w:rPr>
      </w:pPr>
      <w:r>
        <w:rPr>
          <w:sz w:val="22"/>
          <w:szCs w:val="22"/>
          <w:rtl w:val="0"/>
          <w:lang w:val="en-US"/>
        </w:rPr>
        <w:t>ABB introduces the Arctic product family for secure, reliable and real-time wireless connectivity for all industrial and utility applications to enable remote, real-time grid automation. As the backbone for communication, the Arctic family utilizes operator-independent public cellular networks, to combine the products into secure, cost-effective wireless communication systems. The Arctic product family includes wireless routers and gateways as well as M2M gateways. The products allow access to geographically remote assets to support utility customers with their aim to build more intelligent distribution networks and promote an increasingly interconnected world.</w:t>
      </w:r>
    </w:p>
    <w:p>
      <w:pPr>
        <w:pStyle w:val="Body"/>
        <w:spacing w:before="0" w:after="0"/>
        <w:rPr>
          <w:sz w:val="22"/>
          <w:szCs w:val="22"/>
        </w:rPr>
      </w:pPr>
    </w:p>
    <w:p>
      <w:pPr>
        <w:pStyle w:val="Body"/>
        <w:spacing w:before="0" w:after="0"/>
        <w:rPr>
          <w:b w:val="1"/>
          <w:bCs w:val="1"/>
          <w:sz w:val="22"/>
          <w:szCs w:val="22"/>
        </w:rPr>
      </w:pPr>
      <w:r>
        <w:rPr>
          <w:b w:val="1"/>
          <w:bCs w:val="1"/>
          <w:sz w:val="22"/>
          <w:szCs w:val="22"/>
          <w:rtl w:val="0"/>
          <w:lang w:val="fr-FR"/>
        </w:rPr>
        <w:t xml:space="preserve">Smart asset management </w:t>
      </w:r>
      <w:r>
        <w:rPr>
          <w:b w:val="1"/>
          <w:bCs w:val="1"/>
          <w:sz w:val="22"/>
          <w:szCs w:val="22"/>
          <w:rtl w:val="0"/>
        </w:rPr>
        <w:t xml:space="preserve">– </w:t>
      </w:r>
      <w:r>
        <w:rPr>
          <w:b w:val="1"/>
          <w:bCs w:val="1"/>
          <w:sz w:val="22"/>
          <w:szCs w:val="22"/>
          <w:rtl w:val="0"/>
          <w:lang w:val="en-US"/>
        </w:rPr>
        <w:t>for low- and medium-voltage switchgear</w:t>
      </w:r>
    </w:p>
    <w:p>
      <w:pPr>
        <w:pStyle w:val="Body"/>
        <w:spacing w:before="0" w:after="0"/>
        <w:rPr>
          <w:sz w:val="22"/>
          <w:szCs w:val="22"/>
        </w:rPr>
      </w:pPr>
      <w:r>
        <w:rPr>
          <w:sz w:val="22"/>
          <w:szCs w:val="22"/>
          <w:rtl w:val="0"/>
          <w:lang w:val="en-US"/>
        </w:rPr>
        <w:t xml:space="preserve">ABB monitoring solutions implement the whole on-site condition monitoring concept in low- and medium-voltage switchgear </w:t>
      </w:r>
      <w:r>
        <w:rPr>
          <w:sz w:val="22"/>
          <w:szCs w:val="22"/>
          <w:rtl w:val="0"/>
        </w:rPr>
        <w:t xml:space="preserve">– </w:t>
      </w:r>
      <w:r>
        <w:rPr>
          <w:sz w:val="22"/>
          <w:szCs w:val="22"/>
          <w:rtl w:val="0"/>
          <w:lang w:val="en-US"/>
        </w:rPr>
        <w:t xml:space="preserve">from collecting real-time field data to performing assessment algorithms and keeping users up-to-date on the current maintenance requirements. The on-site condition monitoring solution MService for low-voltage and MySiteCare for medium-voltage can be included into the installation during the design phase, but also at the time of operation. </w:t>
      </w:r>
    </w:p>
    <w:p>
      <w:pPr>
        <w:pStyle w:val="Body"/>
        <w:spacing w:before="0" w:after="0"/>
        <w:rPr>
          <w:sz w:val="22"/>
          <w:szCs w:val="22"/>
        </w:rPr>
      </w:pPr>
    </w:p>
    <w:p>
      <w:pPr>
        <w:pStyle w:val="Body"/>
        <w:spacing w:before="0" w:after="0"/>
        <w:rPr>
          <w:sz w:val="22"/>
          <w:szCs w:val="22"/>
        </w:rPr>
      </w:pPr>
      <w:r>
        <w:rPr>
          <w:sz w:val="22"/>
          <w:szCs w:val="22"/>
          <w:rtl w:val="0"/>
          <w:lang w:val="en-US"/>
        </w:rPr>
        <w:t>The service team can perform either periodic or continuous monitoring to optimize their operations. MyRemoteCare deploys a unique remote platform for low- and medium-voltage assets to support asset management to identify the critical assets and keep them available, reliable and safe.</w:t>
      </w:r>
    </w:p>
    <w:p>
      <w:pPr>
        <w:pStyle w:val="Body"/>
        <w:spacing w:before="0" w:after="0"/>
        <w:rPr>
          <w:sz w:val="22"/>
          <w:szCs w:val="22"/>
        </w:rPr>
      </w:pPr>
    </w:p>
    <w:p>
      <w:pPr>
        <w:pStyle w:val="Body"/>
        <w:spacing w:before="0" w:after="0"/>
        <w:rPr>
          <w:b w:val="1"/>
          <w:bCs w:val="1"/>
          <w:sz w:val="22"/>
          <w:szCs w:val="22"/>
        </w:rPr>
      </w:pPr>
      <w:r>
        <w:rPr>
          <w:b w:val="1"/>
          <w:bCs w:val="1"/>
          <w:sz w:val="22"/>
          <w:szCs w:val="22"/>
          <w:rtl w:val="0"/>
          <w:lang w:val="en-US"/>
        </w:rPr>
        <w:t xml:space="preserve">ends </w:t>
      </w:r>
    </w:p>
    <w:p>
      <w:pPr>
        <w:pStyle w:val="Body"/>
        <w:spacing w:before="0" w:after="0"/>
        <w:rPr>
          <w:sz w:val="22"/>
          <w:szCs w:val="22"/>
        </w:rPr>
      </w:pPr>
    </w:p>
    <w:p>
      <w:pPr>
        <w:pStyle w:val="Body"/>
        <w:spacing w:before="0" w:after="0"/>
        <w:rPr>
          <w:sz w:val="22"/>
          <w:szCs w:val="22"/>
        </w:rPr>
      </w:pPr>
      <w:r>
        <w:rPr>
          <w:sz w:val="22"/>
          <w:szCs w:val="22"/>
          <w:rtl w:val="0"/>
          <w:lang w:val="en-US"/>
        </w:rPr>
        <w:t>ABB (www.abb.com) is a leading global technology company in power and automation that enables utility, industry, and transport &amp; infrastructure customers to improve their performance while lowering environmental impact. The ABB Group of companies operates in roughly 100 countries and employs about 135,000 people.</w:t>
      </w:r>
    </w:p>
    <w:p>
      <w:pPr>
        <w:pStyle w:val="Heading 2"/>
      </w:pPr>
    </w:p>
    <w:p>
      <w:pPr>
        <w:pStyle w:val="Heading 2"/>
      </w:pPr>
      <w:r>
        <w:rPr>
          <w:rtl w:val="0"/>
          <w:lang w:val="en-US"/>
        </w:rPr>
        <w:t>For more information please contact:</w:t>
      </w:r>
    </w:p>
    <w:tbl>
      <w:tblPr>
        <w:tblW w:w="9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0f2"/>
        <w:tblLayout w:type="fixed"/>
      </w:tblPr>
      <w:tblGrid>
        <w:gridCol w:w="4820"/>
        <w:gridCol w:w="1219"/>
        <w:gridCol w:w="3031"/>
      </w:tblGrid>
      <w:tr>
        <w:tblPrEx>
          <w:shd w:val="clear" w:color="auto" w:fill="cad0f2"/>
        </w:tblPrEx>
        <w:trPr>
          <w:trHeight w:val="1140" w:hRule="atLeast"/>
        </w:trPr>
        <w:tc>
          <w:tcPr>
            <w:tcW w:type="dxa" w:w="4820"/>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tl w:val="0"/>
                <w:lang w:val="it-IT"/>
              </w:rPr>
              <w:t>Division Communications:</w:t>
            </w:r>
          </w:p>
          <w:p>
            <w:pPr>
              <w:pStyle w:val="No Spacing"/>
            </w:pPr>
            <w:r>
              <w:rPr>
                <w:rtl w:val="0"/>
                <w:lang w:val="it-IT"/>
              </w:rPr>
              <w:t>Lynette Jackson, Electrification Products division</w:t>
            </w:r>
          </w:p>
          <w:p>
            <w:pPr>
              <w:pStyle w:val="No Spacing"/>
            </w:pPr>
            <w:r>
              <w:rPr>
                <w:rtl w:val="0"/>
                <w:lang w:val="de-DE"/>
              </w:rPr>
              <w:t>Tel: +41 793839510</w:t>
            </w:r>
          </w:p>
          <w:p>
            <w:pPr>
              <w:pStyle w:val="No Spacing"/>
            </w:pPr>
            <w:r>
              <w:rPr>
                <w:rtl w:val="0"/>
                <w:lang w:val="de-DE"/>
              </w:rPr>
              <w:t>Lynette.jackson@ch.abb.com</w:t>
            </w:r>
          </w:p>
        </w:tc>
        <w:tc>
          <w:tcPr>
            <w:tcW w:type="dxa" w:w="1219"/>
            <w:tcBorders>
              <w:top w:val="nil"/>
              <w:left w:val="nil"/>
              <w:bottom w:val="nil"/>
              <w:right w:val="nil"/>
            </w:tcBorders>
            <w:shd w:val="clear" w:color="auto" w:fill="auto"/>
            <w:tcMar>
              <w:top w:type="dxa" w:w="80"/>
              <w:left w:type="dxa" w:w="80"/>
              <w:bottom w:type="dxa" w:w="80"/>
              <w:right w:type="dxa" w:w="80"/>
            </w:tcMar>
            <w:vAlign w:val="top"/>
          </w:tcPr>
          <w:p/>
        </w:tc>
        <w:tc>
          <w:tcPr>
            <w:tcW w:type="dxa" w:w="3031"/>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tl w:val="0"/>
                <w:lang w:val="de-DE"/>
              </w:rPr>
              <w:t xml:space="preserve">ABB Ltd </w:t>
            </w:r>
          </w:p>
          <w:p>
            <w:pPr>
              <w:pStyle w:val="No Spacing"/>
            </w:pPr>
            <w:r>
              <w:rPr>
                <w:rtl w:val="0"/>
                <w:lang w:val="de-DE"/>
              </w:rPr>
              <w:t xml:space="preserve">Affolternstrasse 44 </w:t>
            </w:r>
          </w:p>
          <w:p>
            <w:pPr>
              <w:pStyle w:val="No Spacing"/>
            </w:pPr>
            <w:r>
              <w:rPr>
                <w:rtl w:val="0"/>
                <w:lang w:val="de-DE"/>
              </w:rPr>
              <w:t>8050 Zurich</w:t>
            </w:r>
          </w:p>
          <w:p>
            <w:pPr>
              <w:pStyle w:val="No Spacing"/>
            </w:pPr>
            <w:r>
              <w:rPr>
                <w:rtl w:val="0"/>
                <w:lang w:val="de-DE"/>
              </w:rPr>
              <w:t>Switzerland</w:t>
            </w:r>
          </w:p>
        </w:tc>
      </w:tr>
    </w:tbl>
    <w:p>
      <w:pPr>
        <w:pStyle w:val="Heading 2"/>
        <w:widowControl w:val="0"/>
      </w:pPr>
      <w:r/>
    </w:p>
    <w:sectPr>
      <w:headerReference w:type="default" r:id="rId4"/>
      <w:headerReference w:type="first" r:id="rId5"/>
      <w:footerReference w:type="default" r:id="rId6"/>
      <w:footerReference w:type="first" r:id="rId7"/>
      <w:pgSz w:w="11900" w:h="16840" w:orient="portrait"/>
      <w:pgMar w:top="850" w:right="1418" w:bottom="1985" w:left="1418" w:header="283" w:footer="74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BB Neue 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4"/>
        <w:tab w:val="clear" w:pos="9072"/>
      </w:tabs>
    </w:pPr>
    <w:r>
      <w:rPr>
        <w:rtl w:val="0"/>
        <w:lang w:val="de-DE"/>
      </w:rPr>
      <w:t xml:space="preserve">Page </w:t>
    </w:r>
    <w:r>
      <w:rPr>
        <w:rtl w:val="0"/>
        <w:lang w:val="de-DE"/>
      </w:rPr>
      <w:fldChar w:fldCharType="begin" w:fldLock="0"/>
    </w:r>
    <w:r>
      <w:rPr>
        <w:rtl w:val="0"/>
        <w:lang w:val="de-DE"/>
      </w:rPr>
      <w:instrText xml:space="preserve"> PAGE </w:instrText>
    </w:r>
    <w:r>
      <w:rPr>
        <w:rtl w:val="0"/>
        <w:lang w:val="de-DE"/>
      </w:rPr>
      <w:fldChar w:fldCharType="separate" w:fldLock="0"/>
    </w:r>
    <w:r>
      <w:rPr>
        <w:rtl w:val="0"/>
        <w:lang w:val="de-DE"/>
      </w:rPr>
      <w:t>3</w:t>
    </w:r>
    <w:r>
      <w:rPr>
        <w:rtl w:val="0"/>
        <w:lang w:val="de-DE"/>
      </w:rPr>
      <w:fldChar w:fldCharType="end" w:fldLock="0"/>
    </w:r>
    <w:r>
      <w:rPr>
        <w:rtl w:val="0"/>
        <w:lang w:val="de-DE"/>
      </w:rPr>
      <w:t xml:space="preserve"> of </w:t>
    </w:r>
    <w:r>
      <w:rPr>
        <w:rtl w:val="0"/>
        <w:lang w:val="de-DE"/>
      </w:rPr>
      <w:fldChar w:fldCharType="begin" w:fldLock="0"/>
    </w:r>
    <w:r>
      <w:rPr>
        <w:rtl w:val="0"/>
        <w:lang w:val="de-DE"/>
      </w:rPr>
      <w:instrText xml:space="preserve"> NUMPAGES </w:instrText>
    </w:r>
    <w:r>
      <w:rPr>
        <w:rtl w:val="0"/>
        <w:lang w:val="de-DE"/>
      </w:rPr>
      <w:fldChar w:fldCharType="separate" w:fldLock="0"/>
    </w:r>
    <w:r>
      <w:rPr>
        <w:rtl w:val="0"/>
        <w:lang w:val="de-DE"/>
      </w:rPr>
      <w:t>3</w:t>
    </w:r>
    <w:r>
      <w:rPr>
        <w:rtl w:val="0"/>
        <w:lang w:val="de-DE"/>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4"/>
        <w:tab w:val="clear" w:pos="9072"/>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z_NoPreprint"/>
    </w:pPr>
    <w:r>
      <w:drawing>
        <wp:anchor distT="152400" distB="152400" distL="152400" distR="152400" simplePos="0" relativeHeight="251658240" behindDoc="1" locked="0" layoutInCell="1" allowOverlap="1">
          <wp:simplePos x="0" y="0"/>
          <wp:positionH relativeFrom="page">
            <wp:posOffset>3792220</wp:posOffset>
          </wp:positionH>
          <wp:positionV relativeFrom="page">
            <wp:posOffset>9789794</wp:posOffset>
          </wp:positionV>
          <wp:extent cx="2472055" cy="3670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1">
                    <a:extLst/>
                  </a:blip>
                  <a:stretch>
                    <a:fillRect/>
                  </a:stretch>
                </pic:blipFill>
                <pic:spPr>
                  <a:xfrm>
                    <a:off x="0" y="0"/>
                    <a:ext cx="2472055" cy="36703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6637655</wp:posOffset>
          </wp:positionH>
          <wp:positionV relativeFrom="page">
            <wp:posOffset>9669780</wp:posOffset>
          </wp:positionV>
          <wp:extent cx="469266" cy="5359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2">
                    <a:extLst/>
                  </a:blip>
                  <a:stretch>
                    <a:fillRect/>
                  </a:stretch>
                </pic:blipFill>
                <pic:spPr>
                  <a:xfrm>
                    <a:off x="0" y="0"/>
                    <a:ext cx="469266" cy="53594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6164262</wp:posOffset>
              </wp:positionH>
              <wp:positionV relativeFrom="page">
                <wp:posOffset>9935209</wp:posOffset>
              </wp:positionV>
              <wp:extent cx="636" cy="586741"/>
              <wp:effectExtent l="0" t="0" r="0" b="0"/>
              <wp:wrapNone/>
              <wp:docPr id="1073741827" name="officeArt object"/>
              <wp:cNvGraphicFramePr/>
              <a:graphic xmlns:a="http://schemas.openxmlformats.org/drawingml/2006/main">
                <a:graphicData uri="http://schemas.microsoft.com/office/word/2010/wordprocessingShape">
                  <wps:wsp>
                    <wps:cNvSpPr/>
                    <wps:spPr>
                      <a:xfrm flipH="1">
                        <a:off x="0" y="0"/>
                        <a:ext cx="636" cy="586741"/>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485.4pt;margin-top:782.3pt;width:0.1pt;height:46.2pt;z-index:-251656192;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header"/>
      <w:tabs>
        <w:tab w:val="left" w:pos="1704"/>
        <w:tab w:val="clear" w:pos="4536"/>
        <w:tab w:val="clear" w:pos="9072"/>
      </w:tabs>
    </w:pP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300" w:lineRule="auto"/>
      <w:ind w:left="0" w:right="0" w:firstLine="0"/>
      <w:jc w:val="left"/>
      <w:outlineLvl w:val="9"/>
    </w:pPr>
    <w:rPr>
      <w:rFonts w:ascii="ABB Neue Helvetica Light" w:cs="ABB Neue Helvetica Light" w:hAnsi="ABB Neue Helvetica Light" w:eastAsia="ABB Neue Helvetica Light"/>
      <w:b w:val="0"/>
      <w:bCs w:val="0"/>
      <w:i w:val="0"/>
      <w:iCs w:val="0"/>
      <w:caps w:val="0"/>
      <w:smallCaps w:val="0"/>
      <w:strike w:val="0"/>
      <w:dstrike w:val="0"/>
      <w:outline w:val="0"/>
      <w:color w:val="000000"/>
      <w:spacing w:val="0"/>
      <w:kern w:val="12"/>
      <w:position w:val="0"/>
      <w:sz w:val="20"/>
      <w:szCs w:val="20"/>
      <w:u w:val="none" w:color="000000"/>
      <w:vertAlign w:val="baseline"/>
      <w:lang w:val="en-US"/>
    </w:rPr>
  </w:style>
  <w:style w:type="paragraph" w:styleId="zz_NoPreprint">
    <w:name w:val="zz_NoPreprint"/>
    <w:next w:val="zz_NoPreprint"/>
    <w:pPr>
      <w:keepNext w:val="0"/>
      <w:keepLines w:val="0"/>
      <w:pageBreakBefore w:val="0"/>
      <w:widowControl w:val="1"/>
      <w:shd w:val="clear" w:color="auto" w:fill="auto"/>
      <w:suppressAutoHyphens w:val="1"/>
      <w:bidi w:val="0"/>
      <w:spacing w:before="0" w:after="0" w:line="300" w:lineRule="auto"/>
      <w:ind w:left="0" w:right="0" w:firstLine="0"/>
      <w:jc w:val="left"/>
      <w:outlineLvl w:val="9"/>
    </w:pPr>
    <w:rPr>
      <w:rFonts w:ascii="ABB Neue Helvetica Light" w:cs="ABB Neue Helvetica Light" w:hAnsi="ABB Neue Helvetica Light" w:eastAsia="ABB Neue Helvetica Light"/>
      <w:b w:val="0"/>
      <w:bCs w:val="0"/>
      <w:i w:val="0"/>
      <w:iCs w:val="0"/>
      <w:caps w:val="0"/>
      <w:smallCaps w:val="0"/>
      <w:strike w:val="0"/>
      <w:dstrike w:val="0"/>
      <w:outline w:val="0"/>
      <w:color w:val="000000"/>
      <w:spacing w:val="0"/>
      <w:kern w:val="12"/>
      <w:position w:val="0"/>
      <w:sz w:val="20"/>
      <w:szCs w:val="20"/>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1"/>
      <w:bidi w:val="0"/>
      <w:spacing w:before="0" w:after="0" w:line="300" w:lineRule="auto"/>
      <w:ind w:left="0" w:right="0" w:firstLine="0"/>
      <w:jc w:val="left"/>
      <w:outlineLvl w:val="9"/>
    </w:pPr>
    <w:rPr>
      <w:rFonts w:ascii="ABB Neue Helvetica Light" w:cs="ABB Neue Helvetica Light" w:hAnsi="ABB Neue Helvetica Light" w:eastAsia="ABB Neue Helvetica Light"/>
      <w:b w:val="0"/>
      <w:bCs w:val="0"/>
      <w:i w:val="0"/>
      <w:iCs w:val="0"/>
      <w:caps w:val="0"/>
      <w:smallCaps w:val="0"/>
      <w:strike w:val="0"/>
      <w:dstrike w:val="0"/>
      <w:outline w:val="0"/>
      <w:color w:val="000000"/>
      <w:spacing w:val="0"/>
      <w:kern w:val="12"/>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100" w:after="100" w:line="300" w:lineRule="auto"/>
      <w:ind w:left="0" w:right="0" w:firstLine="0"/>
      <w:jc w:val="left"/>
      <w:outlineLvl w:val="9"/>
    </w:pPr>
    <w:rPr>
      <w:rFonts w:ascii="ABB Neue Helvetica Light" w:cs="ABB Neue Helvetica Light" w:hAnsi="ABB Neue Helvetica Light" w:eastAsia="ABB Neue Helvetica Light"/>
      <w:b w:val="0"/>
      <w:bCs w:val="0"/>
      <w:i w:val="0"/>
      <w:iCs w:val="0"/>
      <w:caps w:val="0"/>
      <w:smallCaps w:val="0"/>
      <w:strike w:val="0"/>
      <w:dstrike w:val="0"/>
      <w:outline w:val="0"/>
      <w:color w:val="000000"/>
      <w:spacing w:val="0"/>
      <w:kern w:val="12"/>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100" w:after="100" w:line="300" w:lineRule="auto"/>
      <w:ind w:left="284" w:right="0" w:firstLine="0"/>
      <w:jc w:val="left"/>
      <w:outlineLvl w:val="9"/>
    </w:pPr>
    <w:rPr>
      <w:rFonts w:ascii="ABB Neue Helvetica Light" w:cs="ABB Neue Helvetica Light" w:hAnsi="ABB Neue Helvetica Light" w:eastAsia="ABB Neue Helvetica Light"/>
      <w:b w:val="0"/>
      <w:bCs w:val="0"/>
      <w:i w:val="0"/>
      <w:iCs w:val="0"/>
      <w:caps w:val="0"/>
      <w:smallCaps w:val="0"/>
      <w:strike w:val="0"/>
      <w:dstrike w:val="0"/>
      <w:outline w:val="0"/>
      <w:color w:val="000000"/>
      <w:spacing w:val="0"/>
      <w:kern w:val="12"/>
      <w:position w:val="0"/>
      <w:sz w:val="20"/>
      <w:szCs w:val="20"/>
      <w:u w:val="none" w:color="000000"/>
      <w:vertAlign w:val="baseline"/>
      <w:lang w:val="en-US"/>
    </w:rPr>
  </w:style>
  <w:style w:type="numbering" w:styleId="Imported Style 1">
    <w:name w:val="Imported Style 1"/>
    <w:pPr>
      <w:numPr>
        <w:numId w:val="1"/>
      </w:numPr>
    </w:pPr>
  </w:style>
  <w:style w:type="paragraph" w:styleId="Heading 2">
    <w:name w:val="Heading 2"/>
    <w:next w:val="Body"/>
    <w:pPr>
      <w:keepNext w:val="1"/>
      <w:keepLines w:val="1"/>
      <w:pageBreakBefore w:val="0"/>
      <w:widowControl w:val="1"/>
      <w:shd w:val="clear" w:color="auto" w:fill="auto"/>
      <w:suppressAutoHyphens w:val="1"/>
      <w:bidi w:val="0"/>
      <w:spacing w:before="200" w:after="160" w:line="240" w:lineRule="auto"/>
      <w:ind w:left="0" w:right="0" w:firstLine="0"/>
      <w:jc w:val="left"/>
      <w:outlineLvl w:val="1"/>
    </w:pPr>
    <w:rPr>
      <w:rFonts w:ascii="ABB Neue Helvetica Light" w:cs="ABB Neue Helvetica Light" w:hAnsi="ABB Neue Helvetica Light" w:eastAsia="ABB Neue Helvetica Light"/>
      <w:b w:val="0"/>
      <w:bCs w:val="0"/>
      <w:i w:val="0"/>
      <w:iCs w:val="0"/>
      <w:caps w:val="0"/>
      <w:smallCaps w:val="0"/>
      <w:strike w:val="0"/>
      <w:dstrike w:val="0"/>
      <w:outline w:val="0"/>
      <w:color w:val="002897"/>
      <w:spacing w:val="0"/>
      <w:kern w:val="12"/>
      <w:position w:val="0"/>
      <w:sz w:val="24"/>
      <w:szCs w:val="24"/>
      <w:u w:val="none" w:color="002897"/>
      <w:vertAlign w:val="baseline"/>
    </w:r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300" w:lineRule="auto"/>
      <w:ind w:left="0" w:right="0" w:firstLine="0"/>
      <w:jc w:val="left"/>
      <w:outlineLvl w:val="9"/>
    </w:pPr>
    <w:rPr>
      <w:rFonts w:ascii="ABB Neue Helvetica Light" w:cs="ABB Neue Helvetica Light" w:hAnsi="ABB Neue Helvetica Light" w:eastAsia="ABB Neue Helvetica Light"/>
      <w:b w:val="0"/>
      <w:bCs w:val="0"/>
      <w:i w:val="0"/>
      <w:iCs w:val="0"/>
      <w:caps w:val="0"/>
      <w:smallCaps w:val="0"/>
      <w:strike w:val="0"/>
      <w:dstrike w:val="0"/>
      <w:outline w:val="0"/>
      <w:color w:val="000000"/>
      <w:spacing w:val="0"/>
      <w:kern w:val="12"/>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005ADE"/>
      </a:accent1>
      <a:accent2>
        <a:srgbClr val="0096EA"/>
      </a:accent2>
      <a:accent3>
        <a:srgbClr val="5BD8FF"/>
      </a:accent3>
      <a:accent4>
        <a:srgbClr val="999999"/>
      </a:accent4>
      <a:accent5>
        <a:srgbClr val="666666"/>
      </a:accent5>
      <a:accent6>
        <a:srgbClr val="393939"/>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BB Neue Helvetica Light"/>
            <a:ea typeface="ABB Neue Helvetica Light"/>
            <a:cs typeface="ABB Neue Helvetica Light"/>
            <a:sym typeface="ABB Neue Helvetica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BB Neue Helvetica Light"/>
            <a:ea typeface="ABB Neue Helvetica Light"/>
            <a:cs typeface="ABB Neue Helvetica Light"/>
            <a:sym typeface="ABB Neue Helvetica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