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56F2" w14:textId="52EE0D3A" w:rsidR="00A405F5" w:rsidRDefault="00A405F5"/>
    <w:p w14:paraId="52D72500" w14:textId="1FC2C8B9" w:rsidR="00703507" w:rsidRPr="004016A0" w:rsidRDefault="00EA7FDC">
      <w:pPr>
        <w:rPr>
          <w:rFonts w:ascii="ABBvoiceOffice" w:hAnsi="ABBvoiceOffice" w:cs="ABBvoiceOffice"/>
          <w:b/>
          <w:bCs/>
          <w:sz w:val="24"/>
          <w:szCs w:val="24"/>
        </w:rPr>
      </w:pPr>
      <w:r w:rsidRPr="004016A0">
        <w:rPr>
          <w:rFonts w:ascii="ABBvoiceOffice" w:hAnsi="ABBvoiceOffice" w:cs="ABBvoiceOffice"/>
          <w:b/>
          <w:bCs/>
          <w:sz w:val="24"/>
          <w:szCs w:val="24"/>
        </w:rPr>
        <w:t>INFORMACIÓN SOBRE LA FUSIÓN (Art. 39 LME)</w:t>
      </w:r>
    </w:p>
    <w:p w14:paraId="71954F7C" w14:textId="77777777" w:rsidR="00EA7FDC" w:rsidRPr="00703507" w:rsidRDefault="00EA7FDC">
      <w:pPr>
        <w:rPr>
          <w:rFonts w:ascii="ABBvoiceOffice" w:hAnsi="ABBvoiceOffice" w:cs="ABBvoiceOffice"/>
          <w:b/>
          <w:bCs/>
        </w:rPr>
      </w:pPr>
    </w:p>
    <w:p w14:paraId="33751D76" w14:textId="2B14B5F6" w:rsidR="00703507" w:rsidRPr="00DD4644" w:rsidRDefault="00703507" w:rsidP="00703507">
      <w:pPr>
        <w:jc w:val="both"/>
        <w:rPr>
          <w:rFonts w:ascii="ABBvoiceOffice" w:hAnsi="ABBvoiceOffice" w:cs="ABBvoiceOffice"/>
          <w:color w:val="000000"/>
          <w:sz w:val="24"/>
          <w:szCs w:val="24"/>
          <w:shd w:val="clear" w:color="auto" w:fill="FFFFFF"/>
        </w:rPr>
      </w:pPr>
      <w:r w:rsidRPr="00DD4644">
        <w:rPr>
          <w:rFonts w:ascii="ABBvoiceOffice" w:hAnsi="ABBvoiceOffice" w:cs="ABBvoiceOffice"/>
          <w:sz w:val="24"/>
          <w:szCs w:val="24"/>
        </w:rPr>
        <w:t>En cumplimiento de lo dispuesto en el artículo 39 de la Ley 3/2009, de 3 de abril, sobre modificaciones estructurales de las sociedades mercantiles</w:t>
      </w:r>
      <w:r w:rsidR="00FF32C9">
        <w:rPr>
          <w:rFonts w:ascii="ABBvoiceOffice" w:hAnsi="ABBvoiceOffice" w:cs="ABBvoiceOffice"/>
          <w:sz w:val="24"/>
          <w:szCs w:val="24"/>
        </w:rPr>
        <w:t xml:space="preserve"> (LME)</w:t>
      </w:r>
      <w:r w:rsidRPr="00DD4644">
        <w:rPr>
          <w:rFonts w:ascii="ABBvoiceOffice" w:hAnsi="ABBvoiceOffice" w:cs="ABBvoiceOffice"/>
          <w:sz w:val="24"/>
          <w:szCs w:val="24"/>
        </w:rPr>
        <w:t xml:space="preserve">, </w:t>
      </w:r>
      <w:r w:rsidR="00EA7FDC">
        <w:rPr>
          <w:rFonts w:ascii="ABBvoiceOffice" w:hAnsi="ABBvoiceOffice" w:cs="ABBvoiceOffice"/>
          <w:sz w:val="24"/>
          <w:szCs w:val="24"/>
        </w:rPr>
        <w:t xml:space="preserve">los consejeros de la Sociedad Absorbente y Absorbida ponen </w:t>
      </w:r>
      <w:r w:rsidRPr="00DD4644">
        <w:rPr>
          <w:rFonts w:ascii="ABBvoiceOffice" w:hAnsi="ABBvoiceOffice" w:cs="ABBvoiceOffice"/>
          <w:sz w:val="24"/>
          <w:szCs w:val="24"/>
        </w:rPr>
        <w:t xml:space="preserve">a disposición de </w:t>
      </w:r>
      <w:r w:rsidRPr="00DD4644">
        <w:rPr>
          <w:rFonts w:ascii="ABBvoiceOffice" w:hAnsi="ABBvoiceOffice" w:cs="ABBvoiceOffice"/>
          <w:color w:val="000000"/>
          <w:sz w:val="24"/>
          <w:szCs w:val="24"/>
          <w:shd w:val="clear" w:color="auto" w:fill="FFFFFF"/>
        </w:rPr>
        <w:t xml:space="preserve">accionistas, obligacionistas, titulares de derechos especiales y de los representantes de los trabajadores, así como de cualquier otra persona física o jurídica que ostente cualquier derecho al que la presente operación pueda </w:t>
      </w:r>
      <w:r w:rsidR="00EA7FDC">
        <w:rPr>
          <w:rFonts w:ascii="ABBvoiceOffice" w:hAnsi="ABBvoiceOffice" w:cs="ABBvoiceOffice"/>
          <w:color w:val="000000"/>
          <w:sz w:val="24"/>
          <w:szCs w:val="24"/>
          <w:shd w:val="clear" w:color="auto" w:fill="FFFFFF"/>
        </w:rPr>
        <w:t>afectar</w:t>
      </w:r>
      <w:r w:rsidRPr="00DD4644">
        <w:rPr>
          <w:rFonts w:ascii="ABBvoiceOffice" w:hAnsi="ABBvoiceOffice" w:cs="ABBvoiceOffice"/>
          <w:color w:val="000000"/>
          <w:sz w:val="24"/>
          <w:szCs w:val="24"/>
          <w:shd w:val="clear" w:color="auto" w:fill="FFFFFF"/>
        </w:rPr>
        <w:t>, la siguiente relación documental:</w:t>
      </w:r>
    </w:p>
    <w:p w14:paraId="03BD9BBB" w14:textId="1C0BF5D4" w:rsidR="00703507" w:rsidRPr="00DD4644" w:rsidRDefault="00703507" w:rsidP="00703507">
      <w:pPr>
        <w:jc w:val="both"/>
        <w:rPr>
          <w:rFonts w:ascii="ABBvoiceOffice" w:hAnsi="ABBvoiceOffice" w:cs="ABBvoiceOffice"/>
          <w:color w:val="000000"/>
          <w:sz w:val="24"/>
          <w:szCs w:val="24"/>
          <w:shd w:val="clear" w:color="auto" w:fill="FFFFFF"/>
        </w:rPr>
      </w:pPr>
    </w:p>
    <w:p w14:paraId="11E295E4" w14:textId="6587F0EB" w:rsidR="00703507" w:rsidRPr="00DD4644" w:rsidRDefault="00703507" w:rsidP="00703507">
      <w:pPr>
        <w:jc w:val="both"/>
        <w:rPr>
          <w:rFonts w:ascii="ABBvoiceOffice" w:hAnsi="ABBvoiceOffice" w:cs="ABBvoiceOffice"/>
          <w:color w:val="000000"/>
          <w:sz w:val="24"/>
          <w:szCs w:val="24"/>
          <w:shd w:val="clear" w:color="auto" w:fill="FFFFFF"/>
        </w:rPr>
      </w:pPr>
      <w:r w:rsidRPr="00DD4644">
        <w:rPr>
          <w:rFonts w:ascii="ABBvoiceOffice" w:hAnsi="ABBvoiceOffice" w:cs="ABBvoiceOffice"/>
          <w:color w:val="000000"/>
          <w:sz w:val="24"/>
          <w:szCs w:val="24"/>
          <w:shd w:val="clear" w:color="auto" w:fill="FFFFFF"/>
        </w:rPr>
        <w:t>1</w:t>
      </w:r>
      <w:r w:rsidR="00267901" w:rsidRPr="00DD4644">
        <w:rPr>
          <w:rFonts w:ascii="ABBvoiceOffice" w:hAnsi="ABBvoiceOffice" w:cs="ABBvoiceOffice"/>
          <w:color w:val="000000"/>
          <w:sz w:val="24"/>
          <w:szCs w:val="24"/>
          <w:shd w:val="clear" w:color="auto" w:fill="FFFFFF"/>
        </w:rPr>
        <w:t>.</w:t>
      </w:r>
      <w:r w:rsidRPr="00DD4644">
        <w:rPr>
          <w:rFonts w:ascii="ABBvoiceOffice" w:hAnsi="ABBvoiceOffice" w:cs="ABBvoiceOffice"/>
          <w:color w:val="000000"/>
          <w:sz w:val="24"/>
          <w:szCs w:val="24"/>
          <w:shd w:val="clear" w:color="auto" w:fill="FFFFFF"/>
        </w:rPr>
        <w:t>º- Proyecto común de fusión debidamente suscrito por todos los administradores de las sociedades absorbente y absorbida.</w:t>
      </w:r>
    </w:p>
    <w:p w14:paraId="34B2C7EC" w14:textId="49AC8592" w:rsidR="00703507" w:rsidRPr="00DD4644" w:rsidRDefault="00703507" w:rsidP="00703507">
      <w:pPr>
        <w:jc w:val="both"/>
        <w:rPr>
          <w:rFonts w:ascii="ABBvoiceOffice" w:hAnsi="ABBvoiceOffice" w:cs="ABBvoiceOffice"/>
          <w:color w:val="000000"/>
          <w:sz w:val="24"/>
          <w:szCs w:val="24"/>
          <w:shd w:val="clear" w:color="auto" w:fill="FFFFFF"/>
        </w:rPr>
      </w:pPr>
    </w:p>
    <w:p w14:paraId="46B480A0" w14:textId="35670C12" w:rsidR="00FF32C9" w:rsidRPr="00DD4644" w:rsidRDefault="00703507" w:rsidP="00703507">
      <w:pPr>
        <w:jc w:val="both"/>
        <w:rPr>
          <w:rFonts w:ascii="ABBvoiceOffice" w:hAnsi="ABBvoiceOffice" w:cs="ABBvoiceOffice"/>
          <w:sz w:val="24"/>
          <w:szCs w:val="24"/>
        </w:rPr>
      </w:pPr>
      <w:r w:rsidRPr="00DD4644">
        <w:rPr>
          <w:rFonts w:ascii="ABBvoiceOffice" w:hAnsi="ABBvoiceOffice" w:cs="ABBvoiceOffice"/>
          <w:color w:val="000000"/>
          <w:sz w:val="24"/>
          <w:szCs w:val="24"/>
          <w:shd w:val="clear" w:color="auto" w:fill="FFFFFF"/>
        </w:rPr>
        <w:t>2</w:t>
      </w:r>
      <w:r w:rsidR="00267901" w:rsidRPr="00DD4644">
        <w:rPr>
          <w:rFonts w:ascii="ABBvoiceOffice" w:hAnsi="ABBvoiceOffice" w:cs="ABBvoiceOffice"/>
          <w:color w:val="000000"/>
          <w:sz w:val="24"/>
          <w:szCs w:val="24"/>
          <w:shd w:val="clear" w:color="auto" w:fill="FFFFFF"/>
        </w:rPr>
        <w:t>.</w:t>
      </w:r>
      <w:r w:rsidRPr="00DD4644">
        <w:rPr>
          <w:rFonts w:ascii="ABBvoiceOffice" w:hAnsi="ABBvoiceOffice" w:cs="ABBvoiceOffice"/>
          <w:color w:val="000000"/>
          <w:sz w:val="24"/>
          <w:szCs w:val="24"/>
          <w:shd w:val="clear" w:color="auto" w:fill="FFFFFF"/>
        </w:rPr>
        <w:t xml:space="preserve">º- </w:t>
      </w:r>
      <w:r w:rsidRPr="00DD4644">
        <w:rPr>
          <w:rFonts w:ascii="ABBvoiceOffice" w:hAnsi="ABBvoiceOffice" w:cs="ABBvoiceOffice"/>
          <w:sz w:val="24"/>
          <w:szCs w:val="24"/>
        </w:rPr>
        <w:t>Las cuentas anuales y los informes de gestión de los tres últimos ejercicios, así como los correspondientes informes de los auditores de cuentas de las sociedades en las que fueran legalmente exigibles</w:t>
      </w:r>
      <w:r w:rsidR="00267901" w:rsidRPr="00DD4644">
        <w:rPr>
          <w:rFonts w:ascii="ABBvoiceOffice" w:hAnsi="ABBvoiceOffice" w:cs="ABBvoiceOffice"/>
          <w:sz w:val="24"/>
          <w:szCs w:val="24"/>
        </w:rPr>
        <w:t>.</w:t>
      </w:r>
      <w:r w:rsidR="00FF32C9">
        <w:rPr>
          <w:rFonts w:ascii="ABBvoiceOffice" w:hAnsi="ABBvoiceOffice" w:cs="ABBvoiceOffice"/>
          <w:sz w:val="24"/>
          <w:szCs w:val="24"/>
        </w:rPr>
        <w:t xml:space="preserve"> </w:t>
      </w:r>
    </w:p>
    <w:p w14:paraId="4B593810" w14:textId="31BB1078" w:rsidR="00703507" w:rsidRPr="00DD4644" w:rsidRDefault="00703507">
      <w:pPr>
        <w:rPr>
          <w:rFonts w:ascii="ABBvoiceOffice" w:hAnsi="ABBvoiceOffice" w:cs="ABBvoiceOffice"/>
          <w:sz w:val="24"/>
          <w:szCs w:val="24"/>
        </w:rPr>
      </w:pPr>
    </w:p>
    <w:p w14:paraId="0F22CD7D" w14:textId="7694C495" w:rsidR="00FF32C9" w:rsidRPr="00FF32C9" w:rsidRDefault="00267901" w:rsidP="00FF32C9">
      <w:pPr>
        <w:jc w:val="both"/>
        <w:rPr>
          <w:rFonts w:ascii="ABBvoiceOffice" w:hAnsi="ABBvoiceOffice" w:cs="ABBvoiceOffice"/>
          <w:color w:val="000000"/>
          <w:sz w:val="24"/>
          <w:szCs w:val="24"/>
          <w:shd w:val="clear" w:color="auto" w:fill="FFFFFF"/>
        </w:rPr>
      </w:pPr>
      <w:r w:rsidRPr="00DD4644">
        <w:rPr>
          <w:rFonts w:ascii="ABBvoiceOffice" w:hAnsi="ABBvoiceOffice" w:cs="ABBvoiceOffice"/>
          <w:color w:val="000000"/>
          <w:sz w:val="24"/>
          <w:szCs w:val="24"/>
          <w:shd w:val="clear" w:color="auto" w:fill="FFFFFF"/>
        </w:rPr>
        <w:t>3.º- El balance de fusión de cada una de las sociedades, cuando sea distinto del último balance anual aprobado, acompañado, si fuera exigible, del informe de auditoría o, en el caso de fusión de sociedades cotizadas, el informe financiero semestral por el que el balance se hubiera sustituido.</w:t>
      </w:r>
      <w:r w:rsidR="00FF32C9">
        <w:rPr>
          <w:rFonts w:ascii="ABBvoiceOffice" w:hAnsi="ABBvoiceOffice" w:cs="ABBvoiceOffice"/>
          <w:color w:val="000000"/>
          <w:sz w:val="24"/>
          <w:szCs w:val="24"/>
          <w:shd w:val="clear" w:color="auto" w:fill="FFFFFF"/>
        </w:rPr>
        <w:t xml:space="preserve"> Al amparo de lo establecido en el artículo 36 de la LME</w:t>
      </w:r>
      <w:r w:rsidR="00170F5C">
        <w:rPr>
          <w:rFonts w:ascii="ABBvoiceOffice" w:hAnsi="ABBvoiceOffice" w:cs="ABBvoiceOffice"/>
          <w:color w:val="000000"/>
          <w:sz w:val="24"/>
          <w:szCs w:val="24"/>
          <w:shd w:val="clear" w:color="auto" w:fill="FFFFFF"/>
        </w:rPr>
        <w:t>, se entenderá como balance de fusión el balance del último ejercicio aprobado.</w:t>
      </w:r>
    </w:p>
    <w:p w14:paraId="36B49836" w14:textId="77777777" w:rsidR="00267901" w:rsidRPr="00DD4644" w:rsidRDefault="00267901" w:rsidP="00267901">
      <w:pPr>
        <w:jc w:val="both"/>
        <w:rPr>
          <w:rFonts w:ascii="ABBvoiceOffice" w:hAnsi="ABBvoiceOffice" w:cs="ABBvoiceOffice"/>
          <w:color w:val="000000"/>
          <w:sz w:val="24"/>
          <w:szCs w:val="24"/>
          <w:shd w:val="clear" w:color="auto" w:fill="FFFFFF"/>
        </w:rPr>
      </w:pPr>
      <w:bookmarkStart w:id="0" w:name="_GoBack"/>
      <w:bookmarkEnd w:id="0"/>
    </w:p>
    <w:p w14:paraId="434C4EB5" w14:textId="61EBD0C6" w:rsidR="00267901" w:rsidRPr="00DD4644" w:rsidRDefault="00267901" w:rsidP="00267901">
      <w:pPr>
        <w:jc w:val="both"/>
        <w:rPr>
          <w:rFonts w:ascii="ABBvoiceOffice" w:hAnsi="ABBvoiceOffice" w:cs="ABBvoiceOffice"/>
          <w:color w:val="000000"/>
          <w:sz w:val="24"/>
          <w:szCs w:val="24"/>
          <w:shd w:val="clear" w:color="auto" w:fill="FFFFFF"/>
        </w:rPr>
      </w:pPr>
      <w:r w:rsidRPr="00DD4644">
        <w:rPr>
          <w:rFonts w:ascii="ABBvoiceOffice" w:hAnsi="ABBvoiceOffice" w:cs="ABBvoiceOffice"/>
          <w:color w:val="000000"/>
          <w:sz w:val="24"/>
          <w:szCs w:val="24"/>
          <w:shd w:val="clear" w:color="auto" w:fill="FFFFFF"/>
        </w:rPr>
        <w:t xml:space="preserve">4.º- Los </w:t>
      </w:r>
      <w:r w:rsidR="00B50B05">
        <w:rPr>
          <w:rFonts w:ascii="ABBvoiceOffice" w:hAnsi="ABBvoiceOffice" w:cs="ABBvoiceOffice"/>
          <w:color w:val="000000"/>
          <w:sz w:val="24"/>
          <w:szCs w:val="24"/>
          <w:shd w:val="clear" w:color="auto" w:fill="FFFFFF"/>
        </w:rPr>
        <w:t>E</w:t>
      </w:r>
      <w:r w:rsidRPr="00DD4644">
        <w:rPr>
          <w:rFonts w:ascii="ABBvoiceOffice" w:hAnsi="ABBvoiceOffice" w:cs="ABBvoiceOffice"/>
          <w:color w:val="000000"/>
          <w:sz w:val="24"/>
          <w:szCs w:val="24"/>
          <w:shd w:val="clear" w:color="auto" w:fill="FFFFFF"/>
        </w:rPr>
        <w:t>statutos sociales vigentes incorporados a escritura pública y, en su caso, los pactos relevantes que vayan a constar en documento público.</w:t>
      </w:r>
    </w:p>
    <w:p w14:paraId="7DCEC241" w14:textId="77777777" w:rsidR="00267901" w:rsidRPr="00DD4644" w:rsidRDefault="00267901" w:rsidP="00267901">
      <w:pPr>
        <w:jc w:val="both"/>
        <w:rPr>
          <w:rFonts w:ascii="ABBvoiceOffice" w:hAnsi="ABBvoiceOffice" w:cs="ABBvoiceOffice"/>
          <w:color w:val="000000"/>
          <w:sz w:val="24"/>
          <w:szCs w:val="24"/>
          <w:shd w:val="clear" w:color="auto" w:fill="FFFFFF"/>
        </w:rPr>
      </w:pPr>
    </w:p>
    <w:p w14:paraId="449FFD17" w14:textId="1E2436DE" w:rsidR="00267901" w:rsidRPr="00DD4644" w:rsidRDefault="00267901" w:rsidP="00267901">
      <w:pPr>
        <w:jc w:val="both"/>
        <w:rPr>
          <w:rFonts w:ascii="ABBvoiceOffice" w:hAnsi="ABBvoiceOffice" w:cs="ABBvoiceOffice"/>
          <w:color w:val="000000"/>
          <w:sz w:val="24"/>
          <w:szCs w:val="24"/>
          <w:shd w:val="clear" w:color="auto" w:fill="FFFFFF"/>
        </w:rPr>
      </w:pPr>
      <w:r w:rsidRPr="00DD4644">
        <w:rPr>
          <w:rFonts w:ascii="ABBvoiceOffice" w:hAnsi="ABBvoiceOffice" w:cs="ABBvoiceOffice"/>
          <w:color w:val="000000"/>
          <w:sz w:val="24"/>
          <w:szCs w:val="24"/>
          <w:shd w:val="clear" w:color="auto" w:fill="FFFFFF"/>
        </w:rPr>
        <w:t>5.º- La identidad de los administradores de las sociedades que participan en la fusión, la fecha desde la que desempeñan sus cargos y, en su caso, las mismas indicaciones de quienes vayan a ser propuestos como administradores como consecuencia de la fusión.</w:t>
      </w:r>
    </w:p>
    <w:p w14:paraId="7DF8D410" w14:textId="77777777" w:rsidR="00267901" w:rsidRPr="00DD4644" w:rsidRDefault="00267901" w:rsidP="00267901">
      <w:pPr>
        <w:jc w:val="both"/>
        <w:rPr>
          <w:rFonts w:ascii="ABBvoiceOffice" w:hAnsi="ABBvoiceOffice" w:cs="ABBvoiceOffice"/>
          <w:color w:val="000000"/>
          <w:sz w:val="24"/>
          <w:szCs w:val="24"/>
          <w:shd w:val="clear" w:color="auto" w:fill="FFFFFF"/>
        </w:rPr>
      </w:pPr>
    </w:p>
    <w:p w14:paraId="23AD9ACF" w14:textId="376B40AE" w:rsidR="00DD4644" w:rsidRPr="00DD4644" w:rsidRDefault="00267901" w:rsidP="00DD4644">
      <w:pPr>
        <w:jc w:val="both"/>
        <w:rPr>
          <w:rFonts w:ascii="ABBvoiceOffice" w:hAnsi="ABBvoiceOffice" w:cs="ABBvoiceOffice"/>
          <w:sz w:val="24"/>
          <w:szCs w:val="24"/>
        </w:rPr>
      </w:pPr>
      <w:r w:rsidRPr="00DD4644">
        <w:rPr>
          <w:rFonts w:ascii="ABBvoiceOffice" w:hAnsi="ABBvoiceOffice" w:cs="ABBvoiceOffice"/>
          <w:sz w:val="24"/>
          <w:szCs w:val="24"/>
        </w:rPr>
        <w:lastRenderedPageBreak/>
        <w:t xml:space="preserve">Asimismo, se hace constar que al amparo de lo previsto en los artículos </w:t>
      </w:r>
      <w:r w:rsidR="00DD4644" w:rsidRPr="00DD4644">
        <w:rPr>
          <w:rFonts w:ascii="ABBvoiceOffice" w:hAnsi="ABBvoiceOffice" w:cs="ABBvoiceOffice"/>
          <w:sz w:val="24"/>
          <w:szCs w:val="24"/>
        </w:rPr>
        <w:t xml:space="preserve">49, en relación con el artículo 42, ambos </w:t>
      </w:r>
      <w:r w:rsidRPr="00DD4644">
        <w:rPr>
          <w:rFonts w:ascii="ABBvoiceOffice" w:hAnsi="ABBvoiceOffice" w:cs="ABBvoiceOffice"/>
          <w:sz w:val="24"/>
          <w:szCs w:val="24"/>
        </w:rPr>
        <w:t xml:space="preserve">de </w:t>
      </w:r>
      <w:r w:rsidR="00F25395">
        <w:rPr>
          <w:rFonts w:ascii="ABBvoiceOffice" w:hAnsi="ABBvoiceOffice" w:cs="ABBvoiceOffice"/>
          <w:sz w:val="24"/>
          <w:szCs w:val="24"/>
        </w:rPr>
        <w:t xml:space="preserve">la </w:t>
      </w:r>
      <w:r w:rsidR="00FF32C9">
        <w:rPr>
          <w:rFonts w:ascii="ABBvoiceOffice" w:hAnsi="ABBvoiceOffice" w:cs="ABBvoiceOffice"/>
          <w:sz w:val="24"/>
          <w:szCs w:val="24"/>
        </w:rPr>
        <w:t>LME</w:t>
      </w:r>
      <w:r w:rsidRPr="00DD4644">
        <w:rPr>
          <w:rFonts w:ascii="ABBvoiceOffice" w:hAnsi="ABBvoiceOffice" w:cs="ABBvoiceOffice"/>
          <w:sz w:val="24"/>
          <w:szCs w:val="24"/>
        </w:rPr>
        <w:t xml:space="preserve">, los consejeros de las sociedades </w:t>
      </w:r>
      <w:r w:rsidR="00DD4644" w:rsidRPr="00DD4644">
        <w:rPr>
          <w:rFonts w:ascii="ABBvoiceOffice" w:hAnsi="ABBvoiceOffice" w:cs="ABBvoiceOffice"/>
          <w:sz w:val="24"/>
          <w:szCs w:val="24"/>
        </w:rPr>
        <w:t>participantes de la fusión están exentos de poner a disposición los documentos enumerados bajo los epígrafes 2.º y 3.º del artículo 39 de la precitada Ley, siendo estos:</w:t>
      </w:r>
    </w:p>
    <w:p w14:paraId="4D173E57" w14:textId="77777777" w:rsidR="00DD4644" w:rsidRPr="00DD4644" w:rsidRDefault="00DD4644" w:rsidP="00DD4644">
      <w:pPr>
        <w:jc w:val="both"/>
        <w:rPr>
          <w:rFonts w:ascii="ABBvoiceOffice" w:hAnsi="ABBvoiceOffice" w:cs="ABBvoiceOffice"/>
          <w:sz w:val="24"/>
          <w:szCs w:val="24"/>
        </w:rPr>
      </w:pPr>
    </w:p>
    <w:p w14:paraId="3A4C0E1E" w14:textId="4745FAAC" w:rsidR="00DD4644" w:rsidRPr="00DD4644" w:rsidRDefault="00DD4644" w:rsidP="00DD4644">
      <w:pPr>
        <w:pStyle w:val="parrafo"/>
        <w:spacing w:before="180" w:beforeAutospacing="0" w:after="180" w:afterAutospacing="0"/>
        <w:ind w:left="360"/>
        <w:jc w:val="both"/>
        <w:rPr>
          <w:rFonts w:ascii="ABBvoiceOffice" w:hAnsi="ABBvoiceOffice" w:cs="ABBvoiceOffice"/>
          <w:color w:val="000000"/>
        </w:rPr>
      </w:pPr>
      <w:r w:rsidRPr="00DD4644">
        <w:rPr>
          <w:rFonts w:ascii="ABBvoiceOffice" w:hAnsi="ABBvoiceOffice" w:cs="ABBvoiceOffice"/>
          <w:color w:val="000000"/>
        </w:rPr>
        <w:t>1.º- Los informes de los administradores de cada una de las sociedades sobre el proyecto de fusión.</w:t>
      </w:r>
    </w:p>
    <w:p w14:paraId="62AE6283" w14:textId="77777777" w:rsidR="00DD4644" w:rsidRPr="00DD4644" w:rsidRDefault="00DD4644" w:rsidP="00DD4644">
      <w:pPr>
        <w:pStyle w:val="parrafo"/>
        <w:spacing w:before="180" w:beforeAutospacing="0" w:after="180" w:afterAutospacing="0"/>
        <w:ind w:firstLine="360"/>
        <w:jc w:val="both"/>
        <w:rPr>
          <w:rFonts w:ascii="ABBvoiceOffice" w:hAnsi="ABBvoiceOffice" w:cs="ABBvoiceOffice"/>
          <w:color w:val="000000"/>
        </w:rPr>
      </w:pPr>
    </w:p>
    <w:p w14:paraId="12C6642D" w14:textId="5512CC63" w:rsidR="00DD4644" w:rsidRPr="00DD4644" w:rsidRDefault="00DD4644" w:rsidP="00DD4644">
      <w:pPr>
        <w:pStyle w:val="parrafo"/>
        <w:spacing w:before="180" w:beforeAutospacing="0" w:after="180" w:afterAutospacing="0"/>
        <w:ind w:firstLine="360"/>
        <w:jc w:val="both"/>
        <w:rPr>
          <w:rFonts w:ascii="ABBvoiceOffice" w:hAnsi="ABBvoiceOffice" w:cs="ABBvoiceOffice"/>
          <w:color w:val="000000"/>
        </w:rPr>
      </w:pPr>
      <w:r w:rsidRPr="00DD4644">
        <w:rPr>
          <w:rFonts w:ascii="ABBvoiceOffice" w:hAnsi="ABBvoiceOffice" w:cs="ABBvoiceOffice"/>
          <w:color w:val="000000"/>
        </w:rPr>
        <w:t>3.º- Los informes de los expertos independientes.</w:t>
      </w:r>
    </w:p>
    <w:p w14:paraId="05EB2051" w14:textId="260D869A" w:rsidR="00267901" w:rsidRDefault="00267901" w:rsidP="00267901">
      <w:pPr>
        <w:jc w:val="both"/>
        <w:rPr>
          <w:rFonts w:ascii="ABBvoiceOffice" w:hAnsi="ABBvoiceOffice" w:cs="ABBvoiceOffice"/>
        </w:rPr>
      </w:pPr>
    </w:p>
    <w:p w14:paraId="5E1BA497" w14:textId="3BD62B27" w:rsidR="00DD4644" w:rsidRDefault="00DD4644" w:rsidP="00267901">
      <w:pPr>
        <w:jc w:val="both"/>
        <w:rPr>
          <w:rFonts w:ascii="ABBvoiceOffice" w:hAnsi="ABBvoiceOffice" w:cs="ABBvoiceOffice"/>
          <w:sz w:val="24"/>
          <w:szCs w:val="24"/>
        </w:rPr>
      </w:pPr>
      <w:r>
        <w:rPr>
          <w:rFonts w:ascii="ABBvoiceOffice" w:hAnsi="ABBvoiceOffice" w:cs="ABBvoiceOffice"/>
          <w:sz w:val="24"/>
          <w:szCs w:val="24"/>
        </w:rPr>
        <w:t>Igualmente,</w:t>
      </w:r>
      <w:r w:rsidRPr="00DD4644">
        <w:rPr>
          <w:rFonts w:ascii="ABBvoiceOffice" w:hAnsi="ABBvoiceOffice" w:cs="ABBvoiceOffice"/>
          <w:sz w:val="24"/>
          <w:szCs w:val="24"/>
        </w:rPr>
        <w:t xml:space="preserve"> </w:t>
      </w:r>
      <w:r>
        <w:rPr>
          <w:rFonts w:ascii="ABBvoiceOffice" w:hAnsi="ABBvoiceOffice" w:cs="ABBvoiceOffice"/>
          <w:sz w:val="24"/>
          <w:szCs w:val="24"/>
        </w:rPr>
        <w:t>los consejeros de las sociedades participantes de la fusión hacen constar que</w:t>
      </w:r>
      <w:r w:rsidR="00EA7FDC">
        <w:rPr>
          <w:rFonts w:ascii="ABBvoiceOffice" w:hAnsi="ABBvoiceOffice" w:cs="ABBvoiceOffice"/>
          <w:sz w:val="24"/>
          <w:szCs w:val="24"/>
        </w:rPr>
        <w:t>, como consecuencia de la presente operación,</w:t>
      </w:r>
      <w:r>
        <w:rPr>
          <w:rFonts w:ascii="ABBvoiceOffice" w:hAnsi="ABBvoiceOffice" w:cs="ABBvoiceOffice"/>
          <w:sz w:val="24"/>
          <w:szCs w:val="24"/>
        </w:rPr>
        <w:t xml:space="preserve"> no se prevé modificación estatutaria alguna de </w:t>
      </w:r>
      <w:r w:rsidR="00EA7FDC">
        <w:rPr>
          <w:rFonts w:ascii="ABBvoiceOffice" w:hAnsi="ABBvoiceOffice" w:cs="ABBvoiceOffice"/>
          <w:sz w:val="24"/>
          <w:szCs w:val="24"/>
        </w:rPr>
        <w:t xml:space="preserve">los </w:t>
      </w:r>
      <w:r w:rsidR="00B50B05">
        <w:rPr>
          <w:rFonts w:ascii="ABBvoiceOffice" w:hAnsi="ABBvoiceOffice" w:cs="ABBvoiceOffice"/>
          <w:sz w:val="24"/>
          <w:szCs w:val="24"/>
        </w:rPr>
        <w:t>E</w:t>
      </w:r>
      <w:r w:rsidR="00EA7FDC">
        <w:rPr>
          <w:rFonts w:ascii="ABBvoiceOffice" w:hAnsi="ABBvoiceOffice" w:cs="ABBvoiceOffice"/>
          <w:sz w:val="24"/>
          <w:szCs w:val="24"/>
        </w:rPr>
        <w:t xml:space="preserve">statutos de la Sociedad Absorbente, esto es, Asea Brown Boveri, S.A, por lo que quedan eximidos de la obligación de poner a disposición el documento relacionado bajo el número 7º del artículo 39 </w:t>
      </w:r>
      <w:r w:rsidR="00EA7FDC" w:rsidRPr="00DD4644">
        <w:rPr>
          <w:rFonts w:ascii="ABBvoiceOffice" w:hAnsi="ABBvoiceOffice" w:cs="ABBvoiceOffice"/>
          <w:sz w:val="24"/>
          <w:szCs w:val="24"/>
        </w:rPr>
        <w:t xml:space="preserve">de la </w:t>
      </w:r>
      <w:r w:rsidR="00FF32C9">
        <w:rPr>
          <w:rFonts w:ascii="ABBvoiceOffice" w:hAnsi="ABBvoiceOffice" w:cs="ABBvoiceOffice"/>
          <w:sz w:val="24"/>
          <w:szCs w:val="24"/>
        </w:rPr>
        <w:t>LME</w:t>
      </w:r>
      <w:r w:rsidR="00EA7FDC">
        <w:rPr>
          <w:rFonts w:ascii="ABBvoiceOffice" w:hAnsi="ABBvoiceOffice" w:cs="ABBvoiceOffice"/>
          <w:sz w:val="24"/>
          <w:szCs w:val="24"/>
        </w:rPr>
        <w:t xml:space="preserve">, remitiéndose a los </w:t>
      </w:r>
      <w:r w:rsidR="00B50B05">
        <w:rPr>
          <w:rFonts w:ascii="ABBvoiceOffice" w:hAnsi="ABBvoiceOffice" w:cs="ABBvoiceOffice"/>
          <w:sz w:val="24"/>
          <w:szCs w:val="24"/>
        </w:rPr>
        <w:t>E</w:t>
      </w:r>
      <w:r w:rsidR="00EA7FDC">
        <w:rPr>
          <w:rFonts w:ascii="ABBvoiceOffice" w:hAnsi="ABBvoiceOffice" w:cs="ABBvoiceOffice"/>
          <w:sz w:val="24"/>
          <w:szCs w:val="24"/>
        </w:rPr>
        <w:t>statutos sociales vigentes de la Sociedad Absorbente.</w:t>
      </w:r>
    </w:p>
    <w:p w14:paraId="33453880" w14:textId="019556AD" w:rsidR="00EA7FDC" w:rsidRDefault="00EA7FDC" w:rsidP="00267901">
      <w:pPr>
        <w:jc w:val="both"/>
        <w:rPr>
          <w:rFonts w:ascii="ABBvoiceOffice" w:hAnsi="ABBvoiceOffice" w:cs="ABBvoiceOffice"/>
          <w:sz w:val="24"/>
          <w:szCs w:val="24"/>
        </w:rPr>
      </w:pPr>
    </w:p>
    <w:p w14:paraId="592AEBF6" w14:textId="4D46E0A9" w:rsidR="00EA7FDC" w:rsidRPr="00DD4644" w:rsidRDefault="00EA7FDC" w:rsidP="00267901">
      <w:pPr>
        <w:jc w:val="both"/>
        <w:rPr>
          <w:rFonts w:ascii="ABBvoiceOffice" w:hAnsi="ABBvoiceOffice" w:cs="ABBvoiceOffice"/>
          <w:sz w:val="24"/>
          <w:szCs w:val="24"/>
        </w:rPr>
      </w:pPr>
    </w:p>
    <w:sectPr w:rsidR="00EA7FDC" w:rsidRPr="00DD464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7A96" w14:textId="77777777" w:rsidR="00C1133A" w:rsidRDefault="00C1133A" w:rsidP="00703507">
      <w:pPr>
        <w:spacing w:after="0" w:line="240" w:lineRule="auto"/>
      </w:pPr>
      <w:r>
        <w:separator/>
      </w:r>
    </w:p>
  </w:endnote>
  <w:endnote w:type="continuationSeparator" w:id="0">
    <w:p w14:paraId="0FAF3AEE" w14:textId="77777777" w:rsidR="00C1133A" w:rsidRDefault="00C1133A" w:rsidP="0070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BvoiceOffice">
    <w:panose1 w:val="020D0603020503020204"/>
    <w:charset w:val="00"/>
    <w:family w:val="swiss"/>
    <w:pitch w:val="variable"/>
    <w:sig w:usb0="A000006F" w:usb1="0000004B" w:usb2="00000028" w:usb3="00000000" w:csb0="00000013"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9B84" w14:textId="77777777" w:rsidR="00C1133A" w:rsidRDefault="00C1133A" w:rsidP="00703507">
      <w:pPr>
        <w:spacing w:after="0" w:line="240" w:lineRule="auto"/>
      </w:pPr>
      <w:r>
        <w:separator/>
      </w:r>
    </w:p>
  </w:footnote>
  <w:footnote w:type="continuationSeparator" w:id="0">
    <w:p w14:paraId="33C075B2" w14:textId="77777777" w:rsidR="00C1133A" w:rsidRDefault="00C1133A" w:rsidP="0070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B919" w14:textId="77777777" w:rsidR="00703507" w:rsidRPr="00D7266B" w:rsidRDefault="00703507" w:rsidP="00703507">
    <w:pPr>
      <w:pStyle w:val="Header"/>
      <w:rPr>
        <w:rFonts w:ascii="ABB Logo" w:hAnsi="ABB Logo"/>
        <w:color w:val="FF0000"/>
        <w:sz w:val="96"/>
        <w:szCs w:val="96"/>
      </w:rPr>
    </w:pPr>
    <w:r w:rsidRPr="00D7266B">
      <w:rPr>
        <w:rFonts w:ascii="ABB Logo" w:hAnsi="ABB Logo"/>
        <w:color w:val="FF0000"/>
        <w:sz w:val="72"/>
        <w:szCs w:val="72"/>
      </w:rPr>
      <w:t></w:t>
    </w:r>
    <w:r w:rsidRPr="00D7266B">
      <w:rPr>
        <w:rFonts w:ascii="ABB Logo" w:hAnsi="ABB Logo"/>
        <w:color w:val="FF0000"/>
        <w:sz w:val="72"/>
        <w:szCs w:val="72"/>
      </w:rPr>
      <w:t></w:t>
    </w:r>
    <w:r w:rsidRPr="00D7266B">
      <w:rPr>
        <w:rFonts w:ascii="ABB Logo" w:hAnsi="ABB Logo"/>
        <w:color w:val="FF0000"/>
        <w:sz w:val="72"/>
        <w:szCs w:val="72"/>
      </w:rPr>
      <w:t></w:t>
    </w:r>
  </w:p>
  <w:p w14:paraId="2D8654C5" w14:textId="77777777" w:rsidR="00703507" w:rsidRDefault="0070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07"/>
    <w:rsid w:val="00170F5C"/>
    <w:rsid w:val="001D2CC4"/>
    <w:rsid w:val="00267901"/>
    <w:rsid w:val="004016A0"/>
    <w:rsid w:val="00703507"/>
    <w:rsid w:val="00A405F5"/>
    <w:rsid w:val="00B50B05"/>
    <w:rsid w:val="00C1133A"/>
    <w:rsid w:val="00D80853"/>
    <w:rsid w:val="00DD4644"/>
    <w:rsid w:val="00EA7FDC"/>
    <w:rsid w:val="00F25395"/>
    <w:rsid w:val="00F97A6C"/>
    <w:rsid w:val="00FF3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162"/>
  <w15:chartTrackingRefBased/>
  <w15:docId w15:val="{C6207D69-B45A-45FA-8834-EE0FF63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0350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0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3507"/>
  </w:style>
  <w:style w:type="paragraph" w:styleId="Footer">
    <w:name w:val="footer"/>
    <w:basedOn w:val="Normal"/>
    <w:link w:val="FooterChar"/>
    <w:uiPriority w:val="99"/>
    <w:unhideWhenUsed/>
    <w:rsid w:val="0070350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3507"/>
  </w:style>
  <w:style w:type="character" w:customStyle="1" w:styleId="Heading3Char">
    <w:name w:val="Heading 3 Char"/>
    <w:basedOn w:val="DefaultParagraphFont"/>
    <w:link w:val="Heading3"/>
    <w:uiPriority w:val="9"/>
    <w:rsid w:val="00703507"/>
    <w:rPr>
      <w:rFonts w:ascii="Times New Roman" w:eastAsia="Times New Roman" w:hAnsi="Times New Roman" w:cs="Times New Roman"/>
      <w:b/>
      <w:bCs/>
      <w:sz w:val="27"/>
      <w:szCs w:val="27"/>
      <w:lang w:eastAsia="es-ES"/>
    </w:rPr>
  </w:style>
  <w:style w:type="paragraph" w:customStyle="1" w:styleId="parrafo">
    <w:name w:val="parrafo"/>
    <w:basedOn w:val="Normal"/>
    <w:rsid w:val="002679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679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0260">
      <w:bodyDiv w:val="1"/>
      <w:marLeft w:val="0"/>
      <w:marRight w:val="0"/>
      <w:marTop w:val="0"/>
      <w:marBottom w:val="0"/>
      <w:divBdr>
        <w:top w:val="none" w:sz="0" w:space="0" w:color="auto"/>
        <w:left w:val="none" w:sz="0" w:space="0" w:color="auto"/>
        <w:bottom w:val="none" w:sz="0" w:space="0" w:color="auto"/>
        <w:right w:val="none" w:sz="0" w:space="0" w:color="auto"/>
      </w:divBdr>
    </w:div>
    <w:div w:id="726878232">
      <w:bodyDiv w:val="1"/>
      <w:marLeft w:val="0"/>
      <w:marRight w:val="0"/>
      <w:marTop w:val="0"/>
      <w:marBottom w:val="0"/>
      <w:divBdr>
        <w:top w:val="none" w:sz="0" w:space="0" w:color="auto"/>
        <w:left w:val="none" w:sz="0" w:space="0" w:color="auto"/>
        <w:bottom w:val="none" w:sz="0" w:space="0" w:color="auto"/>
        <w:right w:val="none" w:sz="0" w:space="0" w:color="auto"/>
      </w:divBdr>
    </w:div>
    <w:div w:id="12117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424</Words>
  <Characters>2244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Gonzalez</dc:creator>
  <cp:keywords/>
  <dc:description/>
  <cp:lastModifiedBy>Alvaro Gonzalez</cp:lastModifiedBy>
  <cp:revision>4</cp:revision>
  <dcterms:created xsi:type="dcterms:W3CDTF">2020-06-28T12:51:00Z</dcterms:created>
  <dcterms:modified xsi:type="dcterms:W3CDTF">2020-06-29T10:09:00Z</dcterms:modified>
</cp:coreProperties>
</file>