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01" w:rsidRPr="008D202F" w:rsidRDefault="009350C6">
      <w:pPr>
        <w:pStyle w:val="Default"/>
        <w:rPr>
          <w:color w:val="ED1B28"/>
          <w:sz w:val="40"/>
          <w:szCs w:val="40"/>
          <w:lang w:val="de-DE"/>
        </w:rPr>
      </w:pPr>
      <w:r w:rsidRPr="008D202F">
        <w:rPr>
          <w:b/>
          <w:bCs/>
          <w:color w:val="ED1B28"/>
          <w:sz w:val="40"/>
          <w:szCs w:val="40"/>
          <w:lang w:val="de-DE"/>
        </w:rPr>
        <w:t xml:space="preserve">— </w:t>
      </w:r>
    </w:p>
    <w:p w:rsidR="00CB6201" w:rsidRPr="008D202F" w:rsidRDefault="001C4F0F">
      <w:pPr>
        <w:pStyle w:val="Default"/>
        <w:spacing w:after="47"/>
        <w:rPr>
          <w:sz w:val="16"/>
          <w:szCs w:val="16"/>
          <w:lang w:val="de-DE"/>
        </w:rPr>
      </w:pPr>
      <w:r w:rsidRPr="008D202F">
        <w:rPr>
          <w:sz w:val="16"/>
          <w:szCs w:val="16"/>
          <w:lang w:val="de-DE"/>
        </w:rPr>
        <w:t>ABB UNIVERSITY</w:t>
      </w:r>
    </w:p>
    <w:p w:rsidR="00CB6201" w:rsidRPr="008D202F" w:rsidRDefault="009350C6">
      <w:pPr>
        <w:pStyle w:val="Default"/>
        <w:rPr>
          <w:sz w:val="16"/>
          <w:szCs w:val="16"/>
          <w:lang w:val="de-DE"/>
        </w:rPr>
      </w:pPr>
      <w:r w:rsidRPr="008D202F">
        <w:rPr>
          <w:sz w:val="16"/>
          <w:szCs w:val="16"/>
          <w:lang w:val="de-DE"/>
        </w:rPr>
        <w:t xml:space="preserve"> </w:t>
      </w:r>
    </w:p>
    <w:p w:rsidR="00CB6201" w:rsidRPr="00C46EC0" w:rsidRDefault="00C46EC0">
      <w:pPr>
        <w:pStyle w:val="Default"/>
        <w:spacing w:line="480" w:lineRule="atLeast"/>
        <w:rPr>
          <w:sz w:val="40"/>
          <w:szCs w:val="40"/>
          <w:lang w:val="de-DE"/>
        </w:rPr>
      </w:pPr>
      <w:r w:rsidRPr="00C46EC0">
        <w:rPr>
          <w:b/>
          <w:bCs/>
          <w:sz w:val="40"/>
          <w:szCs w:val="40"/>
          <w:lang w:val="de-DE"/>
        </w:rPr>
        <w:t>DE430</w:t>
      </w:r>
    </w:p>
    <w:p w:rsidR="001E1A91" w:rsidRPr="00C46EC0" w:rsidRDefault="00C46EC0" w:rsidP="00C46EC0">
      <w:pPr>
        <w:pStyle w:val="Coursecode"/>
        <w:rPr>
          <w:color w:val="8DB3E2"/>
          <w:lang w:val="de-DE"/>
        </w:rPr>
      </w:pPr>
      <w:r w:rsidRPr="00C46EC0">
        <w:rPr>
          <w:rFonts w:ascii="ABBvoice" w:hAnsi="ABBvoice" w:cs="ABBvoice"/>
          <w:color w:val="000000"/>
          <w:sz w:val="40"/>
          <w:szCs w:val="40"/>
          <w:lang w:val="de-DE"/>
        </w:rPr>
        <w:t>Microsoft Windows® Technologie für</w:t>
      </w:r>
      <w:r w:rsidR="001E1A91" w:rsidRPr="00C46EC0">
        <w:rPr>
          <w:rFonts w:cs="ABBvoice"/>
          <w:color w:val="000000"/>
          <w:sz w:val="40"/>
          <w:szCs w:val="40"/>
          <w:lang w:val="de-DE"/>
        </w:rPr>
        <w:br/>
      </w:r>
      <w:r w:rsidRPr="00C46EC0">
        <w:rPr>
          <w:rFonts w:ascii="ABBvoice" w:hAnsi="ABBvoice" w:cs="ABBvoice"/>
          <w:color w:val="000000"/>
          <w:sz w:val="40"/>
          <w:szCs w:val="40"/>
          <w:lang w:val="de-DE"/>
        </w:rPr>
        <w:t>ABB IndustrialIT Prozessleitsysteme</w:t>
      </w:r>
    </w:p>
    <w:p w:rsidR="00C46EC0" w:rsidRPr="00A42343" w:rsidRDefault="001E1A91" w:rsidP="00C46EC0">
      <w:pPr>
        <w:pStyle w:val="Default"/>
        <w:spacing w:line="360" w:lineRule="atLeast"/>
        <w:ind w:left="6605" w:right="179"/>
        <w:rPr>
          <w:noProof/>
          <w:lang w:val="de-DE" w:eastAsia="de-DE"/>
        </w:rPr>
      </w:pPr>
      <w:r w:rsidRPr="00585AB6">
        <w:rPr>
          <w:noProof/>
          <w:lang w:val="de-DE" w:eastAsia="de-DE"/>
        </w:rPr>
        <w:drawing>
          <wp:anchor distT="0" distB="0" distL="114300" distR="114300" simplePos="0" relativeHeight="251661312" behindDoc="0" locked="0" layoutInCell="1" allowOverlap="0" wp14:anchorId="35B58C4A" wp14:editId="10D3C322">
            <wp:simplePos x="0" y="0"/>
            <wp:positionH relativeFrom="page">
              <wp:align>left</wp:align>
            </wp:positionH>
            <wp:positionV relativeFrom="paragraph">
              <wp:posOffset>69215</wp:posOffset>
            </wp:positionV>
            <wp:extent cx="4571365" cy="280479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365" cy="280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C0" w:rsidRPr="00BD71D5">
        <w:rPr>
          <w:noProof/>
          <w:lang w:val="de-DE" w:eastAsia="de-DE"/>
        </w:rPr>
        <w:t>Der Kursteilnehmer soll das notwendige Know-</w:t>
      </w:r>
      <w:r w:rsidR="00C46EC0">
        <w:rPr>
          <w:noProof/>
          <w:lang w:val="de-DE" w:eastAsia="de-DE"/>
        </w:rPr>
        <w:t xml:space="preserve">How zu den Microsoft Windows® </w:t>
      </w:r>
      <w:r w:rsidR="00C46EC0" w:rsidRPr="00BD71D5">
        <w:rPr>
          <w:noProof/>
          <w:lang w:val="de-DE" w:eastAsia="de-DE"/>
        </w:rPr>
        <w:t>Betriebssystemen aufbauen, das speziell im Zusammenhang mit den ABB Prozessleitsystemen der Produktlinien 800xA, Symphony Plus, OIT Process Portal B und Freelance steht.</w:t>
      </w:r>
      <w:r w:rsidR="00C46EC0" w:rsidRPr="00A42343">
        <w:rPr>
          <w:noProof/>
          <w:lang w:val="de-DE" w:eastAsia="de-DE"/>
        </w:rPr>
        <w:t xml:space="preserve"> </w:t>
      </w:r>
    </w:p>
    <w:p w:rsidR="00C46EC0" w:rsidRDefault="00C46EC0" w:rsidP="001E1A91">
      <w:pPr>
        <w:pStyle w:val="Default"/>
        <w:spacing w:line="360" w:lineRule="atLeast"/>
        <w:ind w:left="6605" w:right="179"/>
        <w:rPr>
          <w:sz w:val="26"/>
          <w:szCs w:val="26"/>
          <w:lang w:val="de-DE"/>
        </w:rPr>
      </w:pPr>
    </w:p>
    <w:p w:rsidR="00C46EC0" w:rsidRDefault="00C46EC0" w:rsidP="001E1A91">
      <w:pPr>
        <w:pStyle w:val="Default"/>
        <w:spacing w:line="360" w:lineRule="atLeast"/>
        <w:ind w:left="6605" w:right="179"/>
        <w:rPr>
          <w:sz w:val="26"/>
          <w:szCs w:val="26"/>
          <w:lang w:val="de-DE"/>
        </w:rPr>
      </w:pPr>
    </w:p>
    <w:p w:rsidR="00C46EC0" w:rsidRPr="00585AB6" w:rsidRDefault="00C46EC0" w:rsidP="001E1A91">
      <w:pPr>
        <w:pStyle w:val="Default"/>
        <w:spacing w:line="360" w:lineRule="atLeast"/>
        <w:ind w:left="6605" w:right="179"/>
        <w:rPr>
          <w:sz w:val="26"/>
          <w:szCs w:val="26"/>
          <w:lang w:val="de-DE"/>
        </w:rPr>
      </w:pPr>
    </w:p>
    <w:p w:rsidR="003F35E5" w:rsidRPr="00585AB6" w:rsidRDefault="003F35E5">
      <w:pPr>
        <w:pStyle w:val="Default"/>
        <w:spacing w:line="360" w:lineRule="atLeast"/>
        <w:ind w:left="6605"/>
        <w:rPr>
          <w:sz w:val="26"/>
          <w:szCs w:val="26"/>
          <w:lang w:val="de-DE"/>
        </w:rPr>
      </w:pPr>
    </w:p>
    <w:tbl>
      <w:tblPr>
        <w:tblW w:w="0" w:type="auto"/>
        <w:jc w:val="center"/>
        <w:tblLook w:val="04A0" w:firstRow="1" w:lastRow="0" w:firstColumn="1" w:lastColumn="0" w:noHBand="0" w:noVBand="1"/>
      </w:tblPr>
      <w:tblGrid>
        <w:gridCol w:w="5130"/>
        <w:gridCol w:w="4787"/>
      </w:tblGrid>
      <w:tr w:rsidR="001F3E07" w:rsidRPr="00585AB6" w:rsidTr="0045390C">
        <w:trPr>
          <w:trHeight w:val="70"/>
          <w:jc w:val="center"/>
        </w:trPr>
        <w:tc>
          <w:tcPr>
            <w:tcW w:w="5130" w:type="dxa"/>
            <w:shd w:val="clear" w:color="auto" w:fill="auto"/>
          </w:tcPr>
          <w:p w:rsidR="001E1A91" w:rsidRPr="00585AB6" w:rsidRDefault="001E1A91" w:rsidP="001E1A91">
            <w:pPr>
              <w:pStyle w:val="CM1"/>
              <w:rPr>
                <w:rFonts w:cs="ABBvoice"/>
                <w:color w:val="000000"/>
                <w:sz w:val="17"/>
                <w:szCs w:val="17"/>
                <w:lang w:val="de-DE"/>
              </w:rPr>
            </w:pPr>
            <w:proofErr w:type="spellStart"/>
            <w:r w:rsidRPr="00585AB6">
              <w:rPr>
                <w:rFonts w:cs="ABBvoice"/>
                <w:b/>
                <w:bCs/>
                <w:color w:val="000000"/>
                <w:sz w:val="17"/>
                <w:szCs w:val="17"/>
                <w:lang w:val="de-DE"/>
              </w:rPr>
              <w:t>Kurstyp</w:t>
            </w:r>
            <w:proofErr w:type="spellEnd"/>
            <w:r w:rsidRPr="00585AB6">
              <w:rPr>
                <w:rFonts w:cs="ABBvoice"/>
                <w:b/>
                <w:bCs/>
                <w:color w:val="000000"/>
                <w:sz w:val="17"/>
                <w:szCs w:val="17"/>
                <w:lang w:val="de-DE"/>
              </w:rPr>
              <w:t xml:space="preserve"> </w:t>
            </w:r>
          </w:p>
          <w:p w:rsidR="001E1A91" w:rsidRPr="00585AB6" w:rsidRDefault="001E1A91" w:rsidP="00564189">
            <w:pPr>
              <w:pStyle w:val="CM6"/>
              <w:spacing w:after="240" w:line="240" w:lineRule="atLeast"/>
              <w:ind w:right="180"/>
              <w:rPr>
                <w:rFonts w:cs="ABBvoice"/>
                <w:color w:val="000000"/>
                <w:sz w:val="17"/>
                <w:szCs w:val="17"/>
                <w:lang w:val="de-DE"/>
              </w:rPr>
            </w:pPr>
            <w:r w:rsidRPr="00585AB6">
              <w:rPr>
                <w:rFonts w:cs="ABBvoice"/>
                <w:color w:val="000000"/>
                <w:sz w:val="17"/>
                <w:szCs w:val="17"/>
                <w:lang w:val="de-DE"/>
              </w:rPr>
              <w:t xml:space="preserve">Es handelt sich um ein interaktives Training in einem Schulungsraum. Etwa die Hälfte der </w:t>
            </w:r>
            <w:proofErr w:type="spellStart"/>
            <w:r w:rsidRPr="00585AB6">
              <w:rPr>
                <w:rFonts w:cs="ABBvoice"/>
                <w:color w:val="000000"/>
                <w:sz w:val="17"/>
                <w:szCs w:val="17"/>
                <w:lang w:val="de-DE"/>
              </w:rPr>
              <w:t>Kurszeit</w:t>
            </w:r>
            <w:proofErr w:type="spellEnd"/>
            <w:r w:rsidRPr="00585AB6">
              <w:rPr>
                <w:rFonts w:cs="ABBvoice"/>
                <w:color w:val="000000"/>
                <w:sz w:val="17"/>
                <w:szCs w:val="17"/>
                <w:lang w:val="de-DE"/>
              </w:rPr>
              <w:t xml:space="preserve"> besteht aus praktischen Übungen, an einem Trainingssystem, das sich an realen Systemaufbauten orientiert. </w:t>
            </w:r>
          </w:p>
          <w:p w:rsidR="001E1A91" w:rsidRPr="00585AB6" w:rsidRDefault="001E1A91" w:rsidP="001E1A91">
            <w:pPr>
              <w:pStyle w:val="CM1"/>
              <w:rPr>
                <w:rFonts w:cs="ABBvoice"/>
                <w:color w:val="000000"/>
                <w:sz w:val="17"/>
                <w:szCs w:val="17"/>
                <w:lang w:val="de-DE"/>
              </w:rPr>
            </w:pPr>
            <w:r w:rsidRPr="00585AB6">
              <w:rPr>
                <w:rFonts w:cs="ABBvoice"/>
                <w:b/>
                <w:bCs/>
                <w:color w:val="000000"/>
                <w:sz w:val="17"/>
                <w:szCs w:val="17"/>
                <w:lang w:val="de-DE"/>
              </w:rPr>
              <w:t xml:space="preserve">Zielgruppe </w:t>
            </w:r>
          </w:p>
          <w:p w:rsidR="00C46EC0" w:rsidRPr="00C46EC0" w:rsidRDefault="00C46EC0" w:rsidP="00C46EC0">
            <w:pPr>
              <w:pStyle w:val="CM6"/>
              <w:spacing w:after="240" w:line="240" w:lineRule="atLeast"/>
              <w:ind w:right="180"/>
              <w:rPr>
                <w:rFonts w:cs="ABBvoice"/>
                <w:color w:val="000000"/>
                <w:sz w:val="17"/>
                <w:szCs w:val="17"/>
                <w:lang w:val="de-DE"/>
              </w:rPr>
            </w:pPr>
            <w:r w:rsidRPr="00C46EC0">
              <w:rPr>
                <w:rFonts w:cs="ABBvoice"/>
                <w:color w:val="000000"/>
                <w:sz w:val="17"/>
                <w:szCs w:val="17"/>
                <w:lang w:val="de-DE"/>
              </w:rPr>
              <w:t xml:space="preserve">Das Seminar ist an Personen gerichtet, welche die Leitebene und das Engineering der o.g. Systeme pflegen, administrieren und konfigurieren, sowie Anwendungen in ihrer Microsoft Windows® Umgebung installieren müssen. </w:t>
            </w:r>
          </w:p>
          <w:p w:rsidR="001E1A91" w:rsidRPr="00585AB6" w:rsidRDefault="001E1A91" w:rsidP="001E1A91">
            <w:pPr>
              <w:pStyle w:val="CM1"/>
              <w:rPr>
                <w:rFonts w:cs="ABBvoice"/>
                <w:color w:val="000000"/>
                <w:sz w:val="17"/>
                <w:szCs w:val="17"/>
                <w:lang w:val="de-DE"/>
              </w:rPr>
            </w:pPr>
            <w:r w:rsidRPr="00585AB6">
              <w:rPr>
                <w:rFonts w:cs="ABBvoice"/>
                <w:b/>
                <w:bCs/>
                <w:color w:val="000000"/>
                <w:sz w:val="17"/>
                <w:szCs w:val="17"/>
                <w:lang w:val="de-DE"/>
              </w:rPr>
              <w:t>Voraussetzungen</w:t>
            </w:r>
          </w:p>
          <w:p w:rsidR="00C46EC0" w:rsidRPr="00C46EC0" w:rsidRDefault="00C46EC0" w:rsidP="00C46EC0">
            <w:pPr>
              <w:pStyle w:val="CM6"/>
              <w:spacing w:after="240" w:line="240" w:lineRule="atLeast"/>
              <w:ind w:right="180"/>
              <w:rPr>
                <w:rFonts w:cs="ABBvoice"/>
                <w:color w:val="000000"/>
                <w:sz w:val="17"/>
                <w:szCs w:val="17"/>
                <w:lang w:val="de-DE"/>
              </w:rPr>
            </w:pPr>
            <w:r w:rsidRPr="00C46EC0">
              <w:rPr>
                <w:rFonts w:cs="ABBvoice"/>
                <w:color w:val="000000"/>
                <w:sz w:val="17"/>
                <w:szCs w:val="17"/>
                <w:lang w:val="de-DE"/>
              </w:rPr>
              <w:t xml:space="preserve">Der Kursteilnehmer ist im Umgang mit Automatisierungssystemen vertraut und verfügt über Basiswissen zu </w:t>
            </w:r>
            <w:r>
              <w:rPr>
                <w:rFonts w:cs="ABBvoice"/>
                <w:color w:val="000000"/>
                <w:sz w:val="17"/>
                <w:szCs w:val="17"/>
                <w:lang w:val="de-DE"/>
              </w:rPr>
              <w:t>den</w:t>
            </w:r>
            <w:r w:rsidRPr="00C46EC0">
              <w:rPr>
                <w:rFonts w:cs="ABBvoice"/>
                <w:color w:val="000000"/>
                <w:sz w:val="17"/>
                <w:szCs w:val="17"/>
                <w:lang w:val="de-DE"/>
              </w:rPr>
              <w:t xml:space="preserve"> Microsoft Windows® Betriebssystemen und über Netzwerktechnik. </w:t>
            </w:r>
          </w:p>
          <w:p w:rsidR="001E1A91" w:rsidRPr="00585AB6" w:rsidRDefault="001E1A91" w:rsidP="001E1A91">
            <w:pPr>
              <w:pStyle w:val="CM1"/>
              <w:rPr>
                <w:rFonts w:cs="ABBvoice"/>
                <w:color w:val="000000"/>
                <w:sz w:val="17"/>
                <w:szCs w:val="17"/>
                <w:lang w:val="de-DE"/>
              </w:rPr>
            </w:pPr>
            <w:r w:rsidRPr="00585AB6">
              <w:rPr>
                <w:rFonts w:cs="ABBvoice"/>
                <w:b/>
                <w:bCs/>
                <w:color w:val="000000"/>
                <w:sz w:val="17"/>
                <w:szCs w:val="17"/>
                <w:lang w:val="de-DE"/>
              </w:rPr>
              <w:t xml:space="preserve">Lernziele </w:t>
            </w:r>
          </w:p>
          <w:p w:rsidR="001E1A91" w:rsidRPr="00585AB6" w:rsidRDefault="001E1A91" w:rsidP="001E1A91">
            <w:pPr>
              <w:pStyle w:val="CM2"/>
              <w:ind w:right="180"/>
              <w:rPr>
                <w:rFonts w:cs="ABBvoice"/>
                <w:color w:val="000000"/>
                <w:sz w:val="17"/>
                <w:szCs w:val="17"/>
                <w:lang w:val="de-DE"/>
              </w:rPr>
            </w:pPr>
            <w:r w:rsidRPr="00585AB6">
              <w:rPr>
                <w:rFonts w:cs="ABBvoice"/>
                <w:color w:val="000000"/>
                <w:sz w:val="17"/>
                <w:szCs w:val="17"/>
                <w:lang w:val="de-DE"/>
              </w:rPr>
              <w:t>Nach dem Besuch des Kurses verfügt der Teilnehmer über die erforderlichen Kenntnisse</w:t>
            </w:r>
            <w:r w:rsidR="00570621">
              <w:rPr>
                <w:rFonts w:cs="ABBvoice"/>
                <w:color w:val="000000"/>
                <w:sz w:val="17"/>
                <w:szCs w:val="17"/>
                <w:lang w:val="de-DE"/>
              </w:rPr>
              <w:t>, um</w:t>
            </w:r>
            <w:bookmarkStart w:id="0" w:name="_GoBack"/>
            <w:bookmarkEnd w:id="0"/>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Den Windows® Desktop optimal einzurichten </w:t>
            </w:r>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Den Datei-Explorer anzupassen und den Internet Explorers und Cache einzustellen </w:t>
            </w:r>
          </w:p>
          <w:p w:rsid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Die Administrations-Oberfläche einzurichten </w:t>
            </w:r>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Die lokale und zentrale Benutzer- und Ressourcenverwaltung zu administrieren </w:t>
            </w:r>
          </w:p>
          <w:p w:rsidR="00C46EC0" w:rsidRPr="00C46EC0" w:rsidRDefault="00C46EC0" w:rsidP="00C46EC0">
            <w:pPr>
              <w:pStyle w:val="Default"/>
              <w:spacing w:after="1"/>
              <w:ind w:left="720"/>
              <w:rPr>
                <w:sz w:val="17"/>
                <w:szCs w:val="17"/>
                <w:lang w:val="de-DE"/>
              </w:rPr>
            </w:pPr>
          </w:p>
          <w:p w:rsidR="009A1EAF" w:rsidRPr="009A1EAF" w:rsidRDefault="009A1EAF" w:rsidP="00C46EC0">
            <w:pPr>
              <w:pStyle w:val="Default"/>
              <w:spacing w:after="1"/>
              <w:rPr>
                <w:b/>
                <w:bCs/>
                <w:sz w:val="17"/>
                <w:szCs w:val="17"/>
                <w:lang w:val="de-DE"/>
              </w:rPr>
            </w:pPr>
          </w:p>
        </w:tc>
        <w:tc>
          <w:tcPr>
            <w:tcW w:w="4787" w:type="dxa"/>
            <w:shd w:val="clear" w:color="auto" w:fill="auto"/>
          </w:tcPr>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Server Dienste wie DNS, DHCP, RDP und IIS zu installieren und zu konfigurieren </w:t>
            </w:r>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Die Dienste der </w:t>
            </w:r>
            <w:proofErr w:type="spellStart"/>
            <w:r w:rsidRPr="00C46EC0">
              <w:rPr>
                <w:sz w:val="17"/>
                <w:szCs w:val="17"/>
                <w:lang w:val="de-DE"/>
              </w:rPr>
              <w:t>Active</w:t>
            </w:r>
            <w:proofErr w:type="spellEnd"/>
            <w:r w:rsidRPr="00C46EC0">
              <w:rPr>
                <w:sz w:val="17"/>
                <w:szCs w:val="17"/>
                <w:lang w:val="de-DE"/>
              </w:rPr>
              <w:t xml:space="preserve"> Directory, der Group </w:t>
            </w:r>
            <w:proofErr w:type="spellStart"/>
            <w:r w:rsidRPr="00C46EC0">
              <w:rPr>
                <w:sz w:val="17"/>
                <w:szCs w:val="17"/>
                <w:lang w:val="de-DE"/>
              </w:rPr>
              <w:t>Policy</w:t>
            </w:r>
            <w:proofErr w:type="spellEnd"/>
            <w:r w:rsidRPr="00C46EC0">
              <w:rPr>
                <w:sz w:val="17"/>
                <w:szCs w:val="17"/>
                <w:lang w:val="de-DE"/>
              </w:rPr>
              <w:t xml:space="preserve"> Objekte und Zugriffsrechte einzurichten </w:t>
            </w:r>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Die Netzwerkprotokolle TCP/IP- und RNRP zu verstehen und anzuwenden. </w:t>
            </w:r>
          </w:p>
          <w:p w:rsidR="001E1A91" w:rsidRPr="00585AB6" w:rsidRDefault="00750F85" w:rsidP="001E1A91">
            <w:pPr>
              <w:pStyle w:val="CM5"/>
              <w:jc w:val="both"/>
              <w:rPr>
                <w:rFonts w:cs="ABBvoice"/>
                <w:color w:val="000000"/>
                <w:sz w:val="17"/>
                <w:szCs w:val="17"/>
                <w:lang w:val="de-DE"/>
              </w:rPr>
            </w:pPr>
            <w:r w:rsidRPr="00585AB6">
              <w:rPr>
                <w:rFonts w:cs="ABBvoice"/>
                <w:b/>
                <w:bCs/>
                <w:color w:val="000000"/>
                <w:sz w:val="17"/>
                <w:szCs w:val="17"/>
                <w:lang w:val="de-DE"/>
              </w:rPr>
              <w:br/>
            </w:r>
            <w:r w:rsidR="001E1A91" w:rsidRPr="00585AB6">
              <w:rPr>
                <w:rFonts w:cs="ABBvoice"/>
                <w:b/>
                <w:bCs/>
                <w:color w:val="000000"/>
                <w:sz w:val="17"/>
                <w:szCs w:val="17"/>
                <w:lang w:val="de-DE"/>
              </w:rPr>
              <w:t xml:space="preserve">Inhalte </w:t>
            </w:r>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Funktionalitäten der Windows Standard und Server Betriebssysteme </w:t>
            </w:r>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Windows® Desktop Look und </w:t>
            </w:r>
            <w:proofErr w:type="spellStart"/>
            <w:r w:rsidRPr="00C46EC0">
              <w:rPr>
                <w:sz w:val="17"/>
                <w:szCs w:val="17"/>
                <w:lang w:val="de-DE"/>
              </w:rPr>
              <w:t>Feel</w:t>
            </w:r>
            <w:proofErr w:type="spellEnd"/>
            <w:r w:rsidRPr="00C46EC0">
              <w:rPr>
                <w:sz w:val="17"/>
                <w:szCs w:val="17"/>
                <w:lang w:val="de-DE"/>
              </w:rPr>
              <w:t xml:space="preserve"> </w:t>
            </w:r>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Administration – Tools </w:t>
            </w:r>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Domain Controller und </w:t>
            </w:r>
            <w:proofErr w:type="spellStart"/>
            <w:r w:rsidRPr="00C46EC0">
              <w:rPr>
                <w:sz w:val="17"/>
                <w:szCs w:val="17"/>
                <w:lang w:val="de-DE"/>
              </w:rPr>
              <w:t>Active</w:t>
            </w:r>
            <w:proofErr w:type="spellEnd"/>
            <w:r w:rsidRPr="00C46EC0">
              <w:rPr>
                <w:sz w:val="17"/>
                <w:szCs w:val="17"/>
                <w:lang w:val="de-DE"/>
              </w:rPr>
              <w:t xml:space="preserve"> Directory </w:t>
            </w:r>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Zentrale Benutzer und Ressourcen Verwaltung </w:t>
            </w:r>
          </w:p>
          <w:p w:rsidR="00C46EC0" w:rsidRPr="00C46EC0" w:rsidRDefault="00C46EC0" w:rsidP="00C46EC0">
            <w:pPr>
              <w:pStyle w:val="Default"/>
              <w:numPr>
                <w:ilvl w:val="0"/>
                <w:numId w:val="5"/>
              </w:numPr>
              <w:spacing w:after="1"/>
              <w:ind w:left="432"/>
              <w:rPr>
                <w:sz w:val="17"/>
                <w:szCs w:val="17"/>
                <w:lang w:val="de-DE"/>
              </w:rPr>
            </w:pPr>
            <w:proofErr w:type="spellStart"/>
            <w:r w:rsidRPr="00C46EC0">
              <w:rPr>
                <w:sz w:val="17"/>
                <w:szCs w:val="17"/>
                <w:lang w:val="de-DE"/>
              </w:rPr>
              <w:t>Organizational</w:t>
            </w:r>
            <w:proofErr w:type="spellEnd"/>
            <w:r w:rsidRPr="00C46EC0">
              <w:rPr>
                <w:sz w:val="17"/>
                <w:szCs w:val="17"/>
                <w:lang w:val="de-DE"/>
              </w:rPr>
              <w:t xml:space="preserve"> Units, Zugriffsverwaltung und Security </w:t>
            </w:r>
          </w:p>
          <w:p w:rsidR="00C46EC0" w:rsidRPr="008D202F" w:rsidRDefault="00C46EC0" w:rsidP="00C46EC0">
            <w:pPr>
              <w:pStyle w:val="Default"/>
              <w:numPr>
                <w:ilvl w:val="0"/>
                <w:numId w:val="5"/>
              </w:numPr>
              <w:spacing w:after="1"/>
              <w:ind w:left="432"/>
              <w:rPr>
                <w:sz w:val="17"/>
                <w:szCs w:val="17"/>
              </w:rPr>
            </w:pPr>
            <w:r w:rsidRPr="008D202F">
              <w:rPr>
                <w:sz w:val="17"/>
                <w:szCs w:val="17"/>
              </w:rPr>
              <w:t xml:space="preserve">Local Security, Domain Security und Domain Controller Security </w:t>
            </w:r>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Grundlagen zu Ethernet und TCP/IP, DNS, Netzwerkprotokolle </w:t>
            </w:r>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Redundanz für Server Dienste </w:t>
            </w:r>
          </w:p>
          <w:p w:rsidR="00C46EC0" w:rsidRPr="00C46EC0" w:rsidRDefault="00C46EC0" w:rsidP="00C46EC0">
            <w:pPr>
              <w:pStyle w:val="Default"/>
              <w:numPr>
                <w:ilvl w:val="0"/>
                <w:numId w:val="5"/>
              </w:numPr>
              <w:spacing w:after="1"/>
              <w:ind w:left="432"/>
              <w:rPr>
                <w:sz w:val="17"/>
                <w:szCs w:val="17"/>
                <w:lang w:val="de-DE"/>
              </w:rPr>
            </w:pPr>
            <w:r w:rsidRPr="00C46EC0">
              <w:rPr>
                <w:sz w:val="17"/>
                <w:szCs w:val="17"/>
                <w:lang w:val="de-DE"/>
              </w:rPr>
              <w:t xml:space="preserve">Anwendung mit virtuelle Maschinen auf Basis von </w:t>
            </w:r>
            <w:proofErr w:type="spellStart"/>
            <w:r w:rsidRPr="00C46EC0">
              <w:rPr>
                <w:sz w:val="17"/>
                <w:szCs w:val="17"/>
                <w:lang w:val="de-DE"/>
              </w:rPr>
              <w:t>VMWare</w:t>
            </w:r>
            <w:proofErr w:type="spellEnd"/>
            <w:r w:rsidRPr="00C46EC0">
              <w:rPr>
                <w:sz w:val="17"/>
                <w:szCs w:val="17"/>
                <w:lang w:val="de-DE"/>
              </w:rPr>
              <w:t>®</w:t>
            </w:r>
          </w:p>
          <w:p w:rsidR="001E1A91" w:rsidRPr="00585AB6" w:rsidRDefault="001E1A91" w:rsidP="001E1A91">
            <w:pPr>
              <w:pStyle w:val="CM5"/>
              <w:jc w:val="both"/>
              <w:rPr>
                <w:rFonts w:cs="ABBvoice"/>
                <w:b/>
                <w:bCs/>
                <w:color w:val="000000"/>
                <w:sz w:val="17"/>
                <w:szCs w:val="17"/>
                <w:lang w:val="de-DE"/>
              </w:rPr>
            </w:pPr>
          </w:p>
          <w:p w:rsidR="001E1A91" w:rsidRPr="00585AB6" w:rsidRDefault="001E1A91" w:rsidP="001E1A91">
            <w:pPr>
              <w:pStyle w:val="CM5"/>
              <w:jc w:val="both"/>
              <w:rPr>
                <w:rFonts w:cs="ABBvoice"/>
                <w:color w:val="000000"/>
                <w:sz w:val="17"/>
                <w:szCs w:val="17"/>
                <w:lang w:val="de-DE"/>
              </w:rPr>
            </w:pPr>
            <w:r w:rsidRPr="00585AB6">
              <w:rPr>
                <w:rFonts w:cs="ABBvoice"/>
                <w:b/>
                <w:bCs/>
                <w:color w:val="000000"/>
                <w:sz w:val="17"/>
                <w:szCs w:val="17"/>
                <w:lang w:val="de-DE"/>
              </w:rPr>
              <w:t>Kursdauer</w:t>
            </w:r>
          </w:p>
          <w:p w:rsidR="00FE2866" w:rsidRPr="00585AB6" w:rsidRDefault="00C46EC0" w:rsidP="001E1A91">
            <w:pPr>
              <w:pStyle w:val="CM5"/>
              <w:jc w:val="both"/>
              <w:rPr>
                <w:rFonts w:cs="ABBvoice"/>
                <w:bCs/>
                <w:color w:val="000000"/>
                <w:sz w:val="17"/>
                <w:szCs w:val="17"/>
                <w:lang w:val="de-DE"/>
              </w:rPr>
            </w:pPr>
            <w:r>
              <w:rPr>
                <w:rFonts w:cs="ABBvoice"/>
                <w:color w:val="000000"/>
                <w:sz w:val="17"/>
                <w:szCs w:val="17"/>
                <w:lang w:val="de-DE"/>
              </w:rPr>
              <w:t>3</w:t>
            </w:r>
            <w:r w:rsidR="001E1A91" w:rsidRPr="00585AB6">
              <w:rPr>
                <w:rFonts w:cs="ABBvoice"/>
                <w:color w:val="000000"/>
                <w:sz w:val="17"/>
                <w:szCs w:val="17"/>
                <w:lang w:val="de-DE"/>
              </w:rPr>
              <w:t xml:space="preserve"> Tage</w:t>
            </w:r>
          </w:p>
        </w:tc>
      </w:tr>
      <w:tr w:rsidR="00C33A68" w:rsidRPr="00585AB6" w:rsidTr="0045390C">
        <w:trPr>
          <w:trHeight w:val="70"/>
          <w:jc w:val="center"/>
        </w:trPr>
        <w:tc>
          <w:tcPr>
            <w:tcW w:w="5130" w:type="dxa"/>
            <w:shd w:val="clear" w:color="auto" w:fill="auto"/>
          </w:tcPr>
          <w:p w:rsidR="00C33A68" w:rsidRPr="00585AB6" w:rsidRDefault="00C33A68" w:rsidP="00C33A68">
            <w:pPr>
              <w:pStyle w:val="Default"/>
              <w:rPr>
                <w:lang w:val="de-DE"/>
              </w:rPr>
            </w:pPr>
          </w:p>
        </w:tc>
        <w:tc>
          <w:tcPr>
            <w:tcW w:w="4787" w:type="dxa"/>
            <w:shd w:val="clear" w:color="auto" w:fill="auto"/>
          </w:tcPr>
          <w:p w:rsidR="00C33A68" w:rsidRPr="00585AB6" w:rsidRDefault="00C33A68" w:rsidP="00ED2B2B">
            <w:pPr>
              <w:pStyle w:val="CM1"/>
              <w:rPr>
                <w:rFonts w:cs="ABBvoice"/>
                <w:b/>
                <w:bCs/>
                <w:color w:val="000000"/>
                <w:sz w:val="17"/>
                <w:szCs w:val="17"/>
                <w:lang w:val="de-DE"/>
              </w:rPr>
            </w:pPr>
          </w:p>
        </w:tc>
      </w:tr>
    </w:tbl>
    <w:tbl>
      <w:tblPr>
        <w:tblStyle w:val="Tabellenraster"/>
        <w:tblpPr w:leftFromText="180" w:rightFromText="180" w:vertAnchor="text" w:horzAnchor="margin" w:tblpY="11235"/>
        <w:tblOverlap w:val="never"/>
        <w:tblW w:w="1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545"/>
        <w:gridCol w:w="3510"/>
        <w:gridCol w:w="3002"/>
        <w:gridCol w:w="2398"/>
      </w:tblGrid>
      <w:tr w:rsidR="003B3A99" w:rsidRPr="00585AB6" w:rsidTr="003B3A99">
        <w:trPr>
          <w:cantSplit/>
          <w:trHeight w:val="1152"/>
        </w:trPr>
        <w:tc>
          <w:tcPr>
            <w:tcW w:w="2545" w:type="dxa"/>
          </w:tcPr>
          <w:p w:rsidR="003B3A99" w:rsidRPr="00585AB6" w:rsidRDefault="003B3A99" w:rsidP="003B3A99">
            <w:pPr>
              <w:pStyle w:val="Default"/>
              <w:rPr>
                <w:color w:val="221E1F"/>
                <w:sz w:val="14"/>
                <w:szCs w:val="12"/>
                <w:lang w:val="de-DE"/>
              </w:rPr>
            </w:pPr>
            <w:r w:rsidRPr="00585AB6">
              <w:rPr>
                <w:color w:val="221E1F"/>
                <w:sz w:val="14"/>
                <w:szCs w:val="12"/>
                <w:lang w:val="de-DE"/>
              </w:rPr>
              <w:lastRenderedPageBreak/>
              <w:t>ABB University</w:t>
            </w:r>
          </w:p>
          <w:p w:rsidR="003B3A99" w:rsidRPr="00585AB6" w:rsidRDefault="003B3A99" w:rsidP="003B3A99">
            <w:pPr>
              <w:pStyle w:val="Default"/>
              <w:rPr>
                <w:color w:val="221E1F"/>
                <w:sz w:val="14"/>
                <w:szCs w:val="12"/>
                <w:lang w:val="de-DE"/>
              </w:rPr>
            </w:pPr>
          </w:p>
          <w:p w:rsidR="003B3A99" w:rsidRPr="00585AB6" w:rsidRDefault="00570621" w:rsidP="003B3A99">
            <w:pPr>
              <w:pStyle w:val="Default"/>
              <w:rPr>
                <w:color w:val="221E1F"/>
                <w:sz w:val="14"/>
                <w:szCs w:val="12"/>
                <w:lang w:val="de-DE"/>
              </w:rPr>
            </w:pPr>
            <w:hyperlink r:id="rId9" w:history="1">
              <w:r w:rsidR="00D43CDF" w:rsidRPr="00585AB6">
                <w:rPr>
                  <w:rStyle w:val="Hyperlink"/>
                  <w:sz w:val="14"/>
                  <w:szCs w:val="12"/>
                  <w:lang w:val="de-DE"/>
                </w:rPr>
                <w:t>www.abb.de/abbuniversity</w:t>
              </w:r>
            </w:hyperlink>
          </w:p>
          <w:p w:rsidR="00D43CDF" w:rsidRPr="00585AB6" w:rsidRDefault="00570621" w:rsidP="00D43CDF">
            <w:pPr>
              <w:pStyle w:val="Default"/>
              <w:rPr>
                <w:color w:val="221E1F"/>
                <w:sz w:val="14"/>
                <w:szCs w:val="12"/>
                <w:lang w:val="de-DE"/>
              </w:rPr>
            </w:pPr>
            <w:hyperlink r:id="rId10" w:history="1">
              <w:r w:rsidR="00D43CDF" w:rsidRPr="00585AB6">
                <w:rPr>
                  <w:rStyle w:val="Hyperlink"/>
                  <w:sz w:val="14"/>
                  <w:szCs w:val="12"/>
                  <w:lang w:val="de-DE"/>
                </w:rPr>
                <w:t>www.abb.de/controlsystems</w:t>
              </w:r>
            </w:hyperlink>
          </w:p>
          <w:p w:rsidR="00D43CDF" w:rsidRPr="00585AB6" w:rsidRDefault="00D43CDF" w:rsidP="003B3A99">
            <w:pPr>
              <w:pStyle w:val="Default"/>
              <w:rPr>
                <w:color w:val="221E1F"/>
                <w:sz w:val="14"/>
                <w:szCs w:val="12"/>
                <w:lang w:val="de-DE"/>
              </w:rPr>
            </w:pPr>
          </w:p>
          <w:p w:rsidR="003B3A99" w:rsidRPr="00585AB6" w:rsidRDefault="003B3A99" w:rsidP="003B3A99">
            <w:pPr>
              <w:pStyle w:val="Default"/>
              <w:rPr>
                <w:b/>
                <w:bCs/>
                <w:sz w:val="14"/>
                <w:szCs w:val="14"/>
                <w:lang w:val="de-DE"/>
              </w:rPr>
            </w:pPr>
          </w:p>
        </w:tc>
        <w:tc>
          <w:tcPr>
            <w:tcW w:w="3510" w:type="dxa"/>
          </w:tcPr>
          <w:p w:rsidR="003B3A99" w:rsidRPr="009A1EAF" w:rsidRDefault="003B3A99" w:rsidP="003B3A99">
            <w:pPr>
              <w:pStyle w:val="Default"/>
              <w:rPr>
                <w:b/>
                <w:bCs/>
                <w:sz w:val="14"/>
                <w:szCs w:val="14"/>
              </w:rPr>
            </w:pPr>
            <w:r w:rsidRPr="009A1EAF">
              <w:rPr>
                <w:color w:val="221E1F"/>
                <w:sz w:val="12"/>
                <w:szCs w:val="12"/>
              </w:rPr>
              <w:t>We reserve the right to make technical changes or modify the contents of this document without prior notice. With regard to purchase orders, the agreed particulars shall prevail. ABB AG does not accept any responsibility whatsoever for potential errors or possible lack of infor</w:t>
            </w:r>
            <w:r w:rsidRPr="009A1EAF">
              <w:rPr>
                <w:color w:val="221E1F"/>
                <w:sz w:val="12"/>
                <w:szCs w:val="12"/>
              </w:rPr>
              <w:softHyphen/>
              <w:t>mation in this document.</w:t>
            </w:r>
          </w:p>
        </w:tc>
        <w:tc>
          <w:tcPr>
            <w:tcW w:w="3002" w:type="dxa"/>
          </w:tcPr>
          <w:p w:rsidR="003B3A99" w:rsidRPr="009A1EAF" w:rsidRDefault="003B3A99" w:rsidP="003B3A99">
            <w:pPr>
              <w:autoSpaceDE w:val="0"/>
              <w:autoSpaceDN w:val="0"/>
              <w:adjustRightInd w:val="0"/>
              <w:spacing w:after="0" w:line="121" w:lineRule="atLeast"/>
              <w:rPr>
                <w:rFonts w:ascii="ABBvoice" w:hAnsi="ABBvoice" w:cs="ABBvoice"/>
                <w:color w:val="221E1F"/>
                <w:sz w:val="12"/>
                <w:szCs w:val="12"/>
              </w:rPr>
            </w:pPr>
            <w:r w:rsidRPr="009A1EAF">
              <w:rPr>
                <w:rFonts w:ascii="ABBvoice" w:hAnsi="ABBvoice" w:cs="ABBvoice"/>
                <w:color w:val="221E1F"/>
                <w:sz w:val="12"/>
                <w:szCs w:val="12"/>
              </w:rPr>
              <w:t>We reserve all rights in this document and in the subject matter and illustrations con</w:t>
            </w:r>
            <w:r w:rsidRPr="009A1EAF">
              <w:rPr>
                <w:rFonts w:ascii="ABBvoice" w:hAnsi="ABBvoice" w:cs="ABBvoice"/>
                <w:color w:val="221E1F"/>
                <w:sz w:val="12"/>
                <w:szCs w:val="12"/>
              </w:rPr>
              <w:softHyphen/>
              <w:t>tained therein. Any reproduction, disclosure to third parties or utilization of its contents – in whole or in parts – is forbidden without prior written consent of ABB AG. Copyright© 2017 ABB</w:t>
            </w:r>
          </w:p>
          <w:p w:rsidR="003B3A99" w:rsidRPr="00585AB6" w:rsidRDefault="003B3A99" w:rsidP="003B3A99">
            <w:pPr>
              <w:pStyle w:val="Default"/>
              <w:rPr>
                <w:b/>
                <w:bCs/>
                <w:sz w:val="14"/>
                <w:szCs w:val="14"/>
                <w:lang w:val="de-DE"/>
              </w:rPr>
            </w:pPr>
            <w:r w:rsidRPr="00585AB6">
              <w:rPr>
                <w:color w:val="221E1F"/>
                <w:sz w:val="12"/>
                <w:szCs w:val="12"/>
                <w:lang w:val="de-DE"/>
              </w:rPr>
              <w:t xml:space="preserve">All </w:t>
            </w:r>
            <w:proofErr w:type="spellStart"/>
            <w:r w:rsidRPr="00585AB6">
              <w:rPr>
                <w:color w:val="221E1F"/>
                <w:sz w:val="12"/>
                <w:szCs w:val="12"/>
                <w:lang w:val="de-DE"/>
              </w:rPr>
              <w:t>rights</w:t>
            </w:r>
            <w:proofErr w:type="spellEnd"/>
            <w:r w:rsidRPr="00585AB6">
              <w:rPr>
                <w:color w:val="221E1F"/>
                <w:sz w:val="12"/>
                <w:szCs w:val="12"/>
                <w:lang w:val="de-DE"/>
              </w:rPr>
              <w:t xml:space="preserve"> </w:t>
            </w:r>
            <w:proofErr w:type="spellStart"/>
            <w:r w:rsidRPr="00585AB6">
              <w:rPr>
                <w:color w:val="221E1F"/>
                <w:sz w:val="12"/>
                <w:szCs w:val="12"/>
                <w:lang w:val="de-DE"/>
              </w:rPr>
              <w:t>reserved</w:t>
            </w:r>
            <w:proofErr w:type="spellEnd"/>
          </w:p>
        </w:tc>
        <w:tc>
          <w:tcPr>
            <w:tcW w:w="2398" w:type="dxa"/>
            <w:textDirection w:val="tbRl"/>
          </w:tcPr>
          <w:p w:rsidR="003B3A99" w:rsidRPr="00585AB6" w:rsidRDefault="003B3A99" w:rsidP="003B3A99">
            <w:pPr>
              <w:autoSpaceDE w:val="0"/>
              <w:autoSpaceDN w:val="0"/>
              <w:adjustRightInd w:val="0"/>
              <w:spacing w:after="0" w:line="121" w:lineRule="atLeast"/>
              <w:ind w:left="113" w:right="113"/>
              <w:jc w:val="right"/>
              <w:rPr>
                <w:rFonts w:ascii="ABBvoice Light" w:hAnsi="ABBvoice Light" w:cs="ABBvoice Light"/>
                <w:color w:val="221E1F"/>
                <w:sz w:val="12"/>
                <w:szCs w:val="12"/>
                <w:lang w:val="de-DE"/>
              </w:rPr>
            </w:pPr>
          </w:p>
        </w:tc>
      </w:tr>
    </w:tbl>
    <w:tbl>
      <w:tblPr>
        <w:tblpPr w:leftFromText="180" w:rightFromText="180" w:vertAnchor="text" w:horzAnchor="margin" w:tblpY="-223"/>
        <w:tblW w:w="10773" w:type="dxa"/>
        <w:tblLayout w:type="fixed"/>
        <w:tblLook w:val="04A0" w:firstRow="1" w:lastRow="0" w:firstColumn="1" w:lastColumn="0" w:noHBand="0" w:noVBand="1"/>
      </w:tblPr>
      <w:tblGrid>
        <w:gridCol w:w="2154"/>
        <w:gridCol w:w="2154"/>
        <w:gridCol w:w="2155"/>
        <w:gridCol w:w="2155"/>
        <w:gridCol w:w="2155"/>
      </w:tblGrid>
      <w:tr w:rsidR="0045390C" w:rsidRPr="00585AB6" w:rsidTr="00B801A8">
        <w:trPr>
          <w:trHeight w:val="76"/>
        </w:trPr>
        <w:tc>
          <w:tcPr>
            <w:tcW w:w="10773" w:type="dxa"/>
            <w:gridSpan w:val="5"/>
            <w:tcBorders>
              <w:top w:val="single" w:sz="12" w:space="0" w:color="auto"/>
              <w:left w:val="nil"/>
              <w:bottom w:val="single" w:sz="12" w:space="0" w:color="auto"/>
              <w:right w:val="nil"/>
            </w:tcBorders>
            <w:hideMark/>
          </w:tcPr>
          <w:p w:rsidR="0045390C" w:rsidRPr="00585AB6" w:rsidRDefault="001E1A91">
            <w:pPr>
              <w:pStyle w:val="Default"/>
              <w:rPr>
                <w:sz w:val="14"/>
                <w:szCs w:val="14"/>
                <w:lang w:val="de-DE"/>
              </w:rPr>
            </w:pPr>
            <w:r w:rsidRPr="00585AB6">
              <w:rPr>
                <w:b/>
                <w:bCs/>
                <w:sz w:val="14"/>
                <w:szCs w:val="14"/>
                <w:lang w:val="de-DE"/>
              </w:rPr>
              <w:t>Agenda</w:t>
            </w:r>
            <w:r w:rsidR="0045390C" w:rsidRPr="00585AB6">
              <w:rPr>
                <w:b/>
                <w:bCs/>
                <w:sz w:val="14"/>
                <w:szCs w:val="14"/>
                <w:lang w:val="de-DE"/>
              </w:rPr>
              <w:t xml:space="preserve"> </w:t>
            </w:r>
          </w:p>
        </w:tc>
      </w:tr>
      <w:tr w:rsidR="0045390C" w:rsidRPr="00585AB6" w:rsidTr="00E72D62">
        <w:trPr>
          <w:trHeight w:val="148"/>
        </w:trPr>
        <w:tc>
          <w:tcPr>
            <w:tcW w:w="2155" w:type="dxa"/>
            <w:tcBorders>
              <w:top w:val="single" w:sz="12" w:space="0" w:color="auto"/>
              <w:left w:val="nil"/>
              <w:bottom w:val="single" w:sz="8" w:space="0" w:color="808080"/>
              <w:right w:val="nil"/>
            </w:tcBorders>
            <w:vAlign w:val="bottom"/>
            <w:hideMark/>
          </w:tcPr>
          <w:p w:rsidR="0045390C" w:rsidRPr="00585AB6" w:rsidRDefault="001E1A91">
            <w:pPr>
              <w:pStyle w:val="Default"/>
              <w:rPr>
                <w:sz w:val="14"/>
                <w:szCs w:val="14"/>
                <w:lang w:val="de-DE"/>
              </w:rPr>
            </w:pPr>
            <w:r w:rsidRPr="00585AB6">
              <w:rPr>
                <w:sz w:val="14"/>
                <w:szCs w:val="14"/>
                <w:lang w:val="de-DE"/>
              </w:rPr>
              <w:t xml:space="preserve">Tag </w:t>
            </w:r>
            <w:r w:rsidR="0045390C" w:rsidRPr="00585AB6">
              <w:rPr>
                <w:sz w:val="14"/>
                <w:szCs w:val="14"/>
                <w:lang w:val="de-DE"/>
              </w:rPr>
              <w:t xml:space="preserve">1 </w:t>
            </w:r>
          </w:p>
        </w:tc>
        <w:tc>
          <w:tcPr>
            <w:tcW w:w="2155" w:type="dxa"/>
            <w:tcBorders>
              <w:top w:val="single" w:sz="12" w:space="0" w:color="auto"/>
              <w:left w:val="nil"/>
              <w:bottom w:val="single" w:sz="8" w:space="0" w:color="808080"/>
              <w:right w:val="nil"/>
            </w:tcBorders>
            <w:vAlign w:val="bottom"/>
            <w:hideMark/>
          </w:tcPr>
          <w:p w:rsidR="0045390C" w:rsidRPr="00585AB6" w:rsidRDefault="001E1A91" w:rsidP="001E1A91">
            <w:pPr>
              <w:pStyle w:val="Default"/>
              <w:rPr>
                <w:sz w:val="14"/>
                <w:szCs w:val="14"/>
                <w:lang w:val="de-DE"/>
              </w:rPr>
            </w:pPr>
            <w:r w:rsidRPr="00585AB6">
              <w:rPr>
                <w:sz w:val="14"/>
                <w:szCs w:val="14"/>
                <w:lang w:val="de-DE"/>
              </w:rPr>
              <w:t>Tag</w:t>
            </w:r>
            <w:r w:rsidR="0045390C" w:rsidRPr="00585AB6">
              <w:rPr>
                <w:sz w:val="14"/>
                <w:szCs w:val="14"/>
                <w:lang w:val="de-DE"/>
              </w:rPr>
              <w:t xml:space="preserve"> 2 </w:t>
            </w:r>
          </w:p>
        </w:tc>
        <w:tc>
          <w:tcPr>
            <w:tcW w:w="2155" w:type="dxa"/>
            <w:tcBorders>
              <w:top w:val="single" w:sz="12" w:space="0" w:color="auto"/>
              <w:left w:val="nil"/>
              <w:bottom w:val="single" w:sz="8" w:space="0" w:color="808080"/>
              <w:right w:val="nil"/>
            </w:tcBorders>
            <w:vAlign w:val="bottom"/>
            <w:hideMark/>
          </w:tcPr>
          <w:p w:rsidR="0045390C" w:rsidRPr="00585AB6" w:rsidRDefault="001E1A91">
            <w:pPr>
              <w:pStyle w:val="Default"/>
              <w:rPr>
                <w:sz w:val="14"/>
                <w:szCs w:val="14"/>
                <w:lang w:val="de-DE"/>
              </w:rPr>
            </w:pPr>
            <w:r w:rsidRPr="00585AB6">
              <w:rPr>
                <w:sz w:val="14"/>
                <w:szCs w:val="14"/>
                <w:lang w:val="de-DE"/>
              </w:rPr>
              <w:t>Tag</w:t>
            </w:r>
            <w:r w:rsidR="0045390C" w:rsidRPr="00585AB6">
              <w:rPr>
                <w:sz w:val="14"/>
                <w:szCs w:val="14"/>
                <w:lang w:val="de-DE"/>
              </w:rPr>
              <w:t xml:space="preserve"> 3 </w:t>
            </w:r>
          </w:p>
        </w:tc>
        <w:tc>
          <w:tcPr>
            <w:tcW w:w="2155" w:type="dxa"/>
            <w:tcBorders>
              <w:top w:val="single" w:sz="12" w:space="0" w:color="auto"/>
              <w:left w:val="nil"/>
              <w:bottom w:val="single" w:sz="8" w:space="0" w:color="808080"/>
              <w:right w:val="nil"/>
            </w:tcBorders>
            <w:vAlign w:val="bottom"/>
            <w:hideMark/>
          </w:tcPr>
          <w:p w:rsidR="0045390C" w:rsidRPr="00585AB6" w:rsidRDefault="0045390C">
            <w:pPr>
              <w:pStyle w:val="Default"/>
              <w:rPr>
                <w:sz w:val="14"/>
                <w:szCs w:val="14"/>
                <w:lang w:val="de-DE"/>
              </w:rPr>
            </w:pPr>
          </w:p>
        </w:tc>
        <w:tc>
          <w:tcPr>
            <w:tcW w:w="2155" w:type="dxa"/>
            <w:tcBorders>
              <w:top w:val="single" w:sz="12" w:space="0" w:color="auto"/>
              <w:left w:val="nil"/>
              <w:bottom w:val="single" w:sz="8" w:space="0" w:color="808080"/>
              <w:right w:val="nil"/>
            </w:tcBorders>
            <w:vAlign w:val="bottom"/>
            <w:hideMark/>
          </w:tcPr>
          <w:p w:rsidR="0045390C" w:rsidRPr="00585AB6" w:rsidRDefault="0045390C">
            <w:pPr>
              <w:pStyle w:val="Default"/>
              <w:rPr>
                <w:sz w:val="14"/>
                <w:szCs w:val="14"/>
                <w:lang w:val="de-DE"/>
              </w:rPr>
            </w:pPr>
          </w:p>
        </w:tc>
      </w:tr>
      <w:tr w:rsidR="00D43CDF" w:rsidRPr="00570621" w:rsidTr="00E72D62">
        <w:trPr>
          <w:trHeight w:val="898"/>
        </w:trPr>
        <w:tc>
          <w:tcPr>
            <w:tcW w:w="2155" w:type="dxa"/>
            <w:tcBorders>
              <w:top w:val="single" w:sz="8" w:space="0" w:color="808080"/>
              <w:left w:val="nil"/>
              <w:bottom w:val="single" w:sz="12" w:space="0" w:color="auto"/>
              <w:right w:val="nil"/>
            </w:tcBorders>
            <w:hideMark/>
          </w:tcPr>
          <w:p w:rsidR="00785070" w:rsidRDefault="00785070" w:rsidP="00785070">
            <w:pPr>
              <w:pStyle w:val="Default"/>
              <w:rPr>
                <w:sz w:val="14"/>
                <w:szCs w:val="14"/>
                <w:lang w:val="de-DE"/>
              </w:rPr>
            </w:pPr>
            <w:r w:rsidRPr="00785070">
              <w:rPr>
                <w:sz w:val="14"/>
                <w:szCs w:val="14"/>
                <w:lang w:val="de-DE"/>
              </w:rPr>
              <w:t xml:space="preserve">Allgemeine Informationen zum Kurs </w:t>
            </w:r>
          </w:p>
          <w:p w:rsidR="00785070" w:rsidRPr="00785070" w:rsidRDefault="00785070" w:rsidP="00785070">
            <w:pPr>
              <w:pStyle w:val="Default"/>
              <w:rPr>
                <w:sz w:val="14"/>
                <w:szCs w:val="14"/>
                <w:lang w:val="de-DE"/>
              </w:rPr>
            </w:pPr>
          </w:p>
          <w:p w:rsidR="00785070" w:rsidRDefault="00785070" w:rsidP="00785070">
            <w:pPr>
              <w:pStyle w:val="Default"/>
              <w:rPr>
                <w:sz w:val="14"/>
                <w:szCs w:val="14"/>
                <w:lang w:val="de-DE"/>
              </w:rPr>
            </w:pPr>
            <w:r w:rsidRPr="00785070">
              <w:rPr>
                <w:sz w:val="14"/>
                <w:szCs w:val="14"/>
                <w:lang w:val="de-DE"/>
              </w:rPr>
              <w:t xml:space="preserve">Windows® Client und Server Betriebssysteme </w:t>
            </w:r>
          </w:p>
          <w:p w:rsidR="00785070" w:rsidRPr="00785070" w:rsidRDefault="00785070" w:rsidP="00785070">
            <w:pPr>
              <w:pStyle w:val="Default"/>
              <w:rPr>
                <w:sz w:val="14"/>
                <w:szCs w:val="14"/>
                <w:lang w:val="de-DE"/>
              </w:rPr>
            </w:pPr>
          </w:p>
          <w:p w:rsidR="00785070" w:rsidRPr="00785070" w:rsidRDefault="00785070" w:rsidP="00785070">
            <w:pPr>
              <w:pStyle w:val="Default"/>
              <w:rPr>
                <w:sz w:val="14"/>
                <w:szCs w:val="14"/>
                <w:lang w:val="de-DE"/>
              </w:rPr>
            </w:pPr>
            <w:r w:rsidRPr="00785070">
              <w:rPr>
                <w:sz w:val="14"/>
                <w:szCs w:val="14"/>
                <w:lang w:val="de-DE"/>
              </w:rPr>
              <w:t xml:space="preserve">Virtualisierung </w:t>
            </w:r>
          </w:p>
          <w:p w:rsidR="00785070" w:rsidRDefault="00785070" w:rsidP="00785070">
            <w:pPr>
              <w:pStyle w:val="Default"/>
              <w:rPr>
                <w:sz w:val="14"/>
                <w:szCs w:val="14"/>
                <w:lang w:val="de-DE"/>
              </w:rPr>
            </w:pPr>
            <w:r w:rsidRPr="00785070">
              <w:rPr>
                <w:sz w:val="14"/>
                <w:szCs w:val="14"/>
                <w:lang w:val="de-DE"/>
              </w:rPr>
              <w:t xml:space="preserve">Einrichten einer Windows® Arbeitsumgebung </w:t>
            </w:r>
          </w:p>
          <w:p w:rsidR="00785070" w:rsidRPr="00785070" w:rsidRDefault="00785070" w:rsidP="00785070">
            <w:pPr>
              <w:pStyle w:val="Default"/>
              <w:rPr>
                <w:sz w:val="14"/>
                <w:szCs w:val="14"/>
                <w:lang w:val="de-DE"/>
              </w:rPr>
            </w:pPr>
          </w:p>
          <w:p w:rsidR="00D43CDF" w:rsidRPr="00585AB6" w:rsidRDefault="00785070" w:rsidP="00785070">
            <w:pPr>
              <w:pStyle w:val="Default"/>
              <w:rPr>
                <w:sz w:val="14"/>
                <w:szCs w:val="14"/>
                <w:lang w:val="de-DE"/>
              </w:rPr>
            </w:pPr>
            <w:r w:rsidRPr="00785070">
              <w:rPr>
                <w:sz w:val="14"/>
                <w:szCs w:val="14"/>
                <w:lang w:val="de-DE"/>
              </w:rPr>
              <w:t>Desktop, Explorer, Internet Explorer Einstellungen</w:t>
            </w:r>
            <w:r w:rsidRPr="000874B0">
              <w:rPr>
                <w:rFonts w:ascii="ABB Neue Helvetica Light" w:hAnsi="ABB Neue Helvetica Light"/>
                <w:sz w:val="20"/>
                <w:szCs w:val="20"/>
                <w:lang w:val="de-DE"/>
              </w:rPr>
              <w:t xml:space="preserve"> </w:t>
            </w:r>
          </w:p>
        </w:tc>
        <w:tc>
          <w:tcPr>
            <w:tcW w:w="2155" w:type="dxa"/>
            <w:tcBorders>
              <w:top w:val="single" w:sz="8" w:space="0" w:color="808080"/>
              <w:left w:val="nil"/>
              <w:bottom w:val="single" w:sz="12" w:space="0" w:color="auto"/>
              <w:right w:val="nil"/>
            </w:tcBorders>
            <w:hideMark/>
          </w:tcPr>
          <w:p w:rsidR="00785070" w:rsidRDefault="00785070" w:rsidP="00785070">
            <w:pPr>
              <w:pStyle w:val="Default"/>
              <w:rPr>
                <w:sz w:val="14"/>
                <w:szCs w:val="14"/>
                <w:lang w:val="de-DE"/>
              </w:rPr>
            </w:pPr>
            <w:r w:rsidRPr="00785070">
              <w:rPr>
                <w:sz w:val="14"/>
                <w:szCs w:val="14"/>
                <w:lang w:val="de-DE"/>
              </w:rPr>
              <w:t xml:space="preserve">Netzwerke, Ethernet und TCP/IP </w:t>
            </w:r>
          </w:p>
          <w:p w:rsidR="00785070" w:rsidRPr="00785070" w:rsidRDefault="00785070" w:rsidP="00785070">
            <w:pPr>
              <w:pStyle w:val="Default"/>
              <w:rPr>
                <w:sz w:val="14"/>
                <w:szCs w:val="14"/>
                <w:lang w:val="de-DE"/>
              </w:rPr>
            </w:pPr>
          </w:p>
          <w:p w:rsidR="00785070" w:rsidRDefault="00785070" w:rsidP="00785070">
            <w:pPr>
              <w:pStyle w:val="Default"/>
              <w:rPr>
                <w:sz w:val="14"/>
                <w:szCs w:val="14"/>
                <w:lang w:val="de-DE"/>
              </w:rPr>
            </w:pPr>
            <w:r w:rsidRPr="00785070">
              <w:rPr>
                <w:sz w:val="14"/>
                <w:szCs w:val="14"/>
                <w:lang w:val="de-DE"/>
              </w:rPr>
              <w:t xml:space="preserve">RNRP Redundant Network Routing Protocol </w:t>
            </w:r>
          </w:p>
          <w:p w:rsidR="00785070" w:rsidRPr="00785070" w:rsidRDefault="00785070" w:rsidP="00785070">
            <w:pPr>
              <w:pStyle w:val="Default"/>
              <w:rPr>
                <w:sz w:val="14"/>
                <w:szCs w:val="14"/>
                <w:lang w:val="de-DE"/>
              </w:rPr>
            </w:pPr>
          </w:p>
          <w:p w:rsidR="00785070" w:rsidRDefault="00785070" w:rsidP="00785070">
            <w:pPr>
              <w:pStyle w:val="Default"/>
              <w:rPr>
                <w:sz w:val="14"/>
                <w:szCs w:val="14"/>
                <w:lang w:val="de-DE"/>
              </w:rPr>
            </w:pPr>
            <w:r w:rsidRPr="00785070">
              <w:rPr>
                <w:sz w:val="14"/>
                <w:szCs w:val="14"/>
                <w:lang w:val="de-DE"/>
              </w:rPr>
              <w:t>Server Dienste und Redundanz</w:t>
            </w:r>
          </w:p>
          <w:p w:rsidR="00785070" w:rsidRPr="00785070" w:rsidRDefault="00785070" w:rsidP="00785070">
            <w:pPr>
              <w:pStyle w:val="Default"/>
              <w:rPr>
                <w:sz w:val="14"/>
                <w:szCs w:val="14"/>
                <w:lang w:val="de-DE"/>
              </w:rPr>
            </w:pPr>
          </w:p>
          <w:p w:rsidR="00D43CDF" w:rsidRPr="008D202F" w:rsidRDefault="00785070" w:rsidP="00785070">
            <w:pPr>
              <w:pStyle w:val="Default"/>
              <w:rPr>
                <w:sz w:val="14"/>
                <w:szCs w:val="14"/>
              </w:rPr>
            </w:pPr>
            <w:r w:rsidRPr="008D202F">
              <w:rPr>
                <w:sz w:val="14"/>
                <w:szCs w:val="14"/>
              </w:rPr>
              <w:t xml:space="preserve">Überblick, Active Directory und Domain Controller </w:t>
            </w:r>
          </w:p>
          <w:p w:rsidR="00D43CDF" w:rsidRPr="00785070" w:rsidRDefault="00D43CDF" w:rsidP="00D43CDF">
            <w:pPr>
              <w:pStyle w:val="Default"/>
              <w:rPr>
                <w:sz w:val="14"/>
                <w:szCs w:val="14"/>
              </w:rPr>
            </w:pPr>
          </w:p>
        </w:tc>
        <w:tc>
          <w:tcPr>
            <w:tcW w:w="2155" w:type="dxa"/>
            <w:tcBorders>
              <w:top w:val="single" w:sz="8" w:space="0" w:color="808080"/>
              <w:left w:val="nil"/>
              <w:bottom w:val="single" w:sz="12" w:space="0" w:color="auto"/>
              <w:right w:val="nil"/>
            </w:tcBorders>
            <w:hideMark/>
          </w:tcPr>
          <w:p w:rsidR="00785070" w:rsidRDefault="00785070" w:rsidP="00785070">
            <w:pPr>
              <w:pStyle w:val="Default"/>
              <w:rPr>
                <w:sz w:val="14"/>
                <w:szCs w:val="14"/>
                <w:lang w:val="de-DE"/>
              </w:rPr>
            </w:pPr>
            <w:r w:rsidRPr="00785070">
              <w:rPr>
                <w:sz w:val="14"/>
                <w:szCs w:val="14"/>
                <w:lang w:val="de-DE"/>
              </w:rPr>
              <w:t xml:space="preserve">Zentrale Benutzer- und Ressourcen Verwaltung </w:t>
            </w:r>
          </w:p>
          <w:p w:rsidR="00785070" w:rsidRPr="00785070" w:rsidRDefault="00785070" w:rsidP="00785070">
            <w:pPr>
              <w:pStyle w:val="Default"/>
              <w:rPr>
                <w:sz w:val="14"/>
                <w:szCs w:val="14"/>
                <w:lang w:val="de-DE"/>
              </w:rPr>
            </w:pPr>
          </w:p>
          <w:p w:rsidR="00785070" w:rsidRDefault="00785070" w:rsidP="00785070">
            <w:pPr>
              <w:pStyle w:val="Default"/>
              <w:rPr>
                <w:sz w:val="14"/>
                <w:szCs w:val="14"/>
                <w:lang w:val="de-DE"/>
              </w:rPr>
            </w:pPr>
            <w:proofErr w:type="spellStart"/>
            <w:r w:rsidRPr="00785070">
              <w:rPr>
                <w:sz w:val="14"/>
                <w:szCs w:val="14"/>
                <w:lang w:val="de-DE"/>
              </w:rPr>
              <w:t>Organizational</w:t>
            </w:r>
            <w:proofErr w:type="spellEnd"/>
            <w:r w:rsidRPr="00785070">
              <w:rPr>
                <w:sz w:val="14"/>
                <w:szCs w:val="14"/>
                <w:lang w:val="de-DE"/>
              </w:rPr>
              <w:t xml:space="preserve"> Units </w:t>
            </w:r>
          </w:p>
          <w:p w:rsidR="00785070" w:rsidRPr="00785070" w:rsidRDefault="00785070" w:rsidP="00785070">
            <w:pPr>
              <w:pStyle w:val="Default"/>
              <w:rPr>
                <w:sz w:val="14"/>
                <w:szCs w:val="14"/>
                <w:lang w:val="de-DE"/>
              </w:rPr>
            </w:pPr>
          </w:p>
          <w:p w:rsidR="00785070" w:rsidRDefault="00785070" w:rsidP="00785070">
            <w:pPr>
              <w:pStyle w:val="Default"/>
              <w:rPr>
                <w:sz w:val="14"/>
                <w:szCs w:val="14"/>
                <w:lang w:val="de-DE"/>
              </w:rPr>
            </w:pPr>
            <w:r w:rsidRPr="00785070">
              <w:rPr>
                <w:sz w:val="14"/>
                <w:szCs w:val="14"/>
                <w:lang w:val="de-DE"/>
              </w:rPr>
              <w:t xml:space="preserve">Group </w:t>
            </w:r>
            <w:proofErr w:type="spellStart"/>
            <w:r w:rsidRPr="00785070">
              <w:rPr>
                <w:sz w:val="14"/>
                <w:szCs w:val="14"/>
                <w:lang w:val="de-DE"/>
              </w:rPr>
              <w:t>Policy</w:t>
            </w:r>
            <w:proofErr w:type="spellEnd"/>
            <w:r w:rsidRPr="00785070">
              <w:rPr>
                <w:sz w:val="14"/>
                <w:szCs w:val="14"/>
                <w:lang w:val="de-DE"/>
              </w:rPr>
              <w:t xml:space="preserve"> und Zugriffsrechte </w:t>
            </w:r>
          </w:p>
          <w:p w:rsidR="00785070" w:rsidRPr="00785070" w:rsidRDefault="00785070" w:rsidP="00785070">
            <w:pPr>
              <w:pStyle w:val="Default"/>
              <w:rPr>
                <w:sz w:val="14"/>
                <w:szCs w:val="14"/>
                <w:lang w:val="de-DE"/>
              </w:rPr>
            </w:pPr>
          </w:p>
          <w:p w:rsidR="00D43CDF" w:rsidRPr="00585AB6" w:rsidRDefault="00785070" w:rsidP="00785070">
            <w:pPr>
              <w:pStyle w:val="Default"/>
              <w:rPr>
                <w:sz w:val="14"/>
                <w:szCs w:val="14"/>
                <w:lang w:val="de-DE"/>
              </w:rPr>
            </w:pPr>
            <w:r w:rsidRPr="00785070">
              <w:rPr>
                <w:sz w:val="14"/>
                <w:szCs w:val="14"/>
                <w:lang w:val="de-DE"/>
              </w:rPr>
              <w:t>Security Einstellungen</w:t>
            </w:r>
          </w:p>
        </w:tc>
        <w:tc>
          <w:tcPr>
            <w:tcW w:w="2155" w:type="dxa"/>
            <w:tcBorders>
              <w:top w:val="single" w:sz="8" w:space="0" w:color="808080"/>
              <w:left w:val="nil"/>
              <w:bottom w:val="single" w:sz="12" w:space="0" w:color="auto"/>
              <w:right w:val="nil"/>
            </w:tcBorders>
            <w:hideMark/>
          </w:tcPr>
          <w:p w:rsidR="00D43CDF" w:rsidRPr="00585AB6" w:rsidRDefault="00D43CDF" w:rsidP="00D43CDF">
            <w:pPr>
              <w:pStyle w:val="Default"/>
              <w:rPr>
                <w:sz w:val="14"/>
                <w:szCs w:val="14"/>
                <w:lang w:val="de-DE"/>
              </w:rPr>
            </w:pPr>
          </w:p>
        </w:tc>
        <w:tc>
          <w:tcPr>
            <w:tcW w:w="2155" w:type="dxa"/>
            <w:tcBorders>
              <w:top w:val="single" w:sz="8" w:space="0" w:color="808080"/>
              <w:left w:val="nil"/>
              <w:bottom w:val="single" w:sz="12" w:space="0" w:color="auto"/>
              <w:right w:val="nil"/>
            </w:tcBorders>
          </w:tcPr>
          <w:p w:rsidR="00D43CDF" w:rsidRPr="00585AB6" w:rsidRDefault="00D43CDF" w:rsidP="00785070">
            <w:pPr>
              <w:pStyle w:val="Default"/>
              <w:rPr>
                <w:sz w:val="14"/>
                <w:szCs w:val="14"/>
                <w:lang w:val="de-DE"/>
              </w:rPr>
            </w:pPr>
          </w:p>
        </w:tc>
      </w:tr>
    </w:tbl>
    <w:p w:rsidR="009350C6" w:rsidRDefault="009350C6" w:rsidP="009814AA">
      <w:pPr>
        <w:pStyle w:val="Default"/>
        <w:rPr>
          <w:lang w:val="de-DE"/>
        </w:rPr>
      </w:pPr>
    </w:p>
    <w:p w:rsidR="008D202F" w:rsidRDefault="008D202F" w:rsidP="008D202F">
      <w:pPr>
        <w:pStyle w:val="Footerheader"/>
        <w:ind w:left="0"/>
        <w:rPr>
          <w:rFonts w:ascii="ABBvoice" w:hAnsi="ABBvoice" w:cs="ABBvoice"/>
          <w:b w:val="0"/>
          <w:bCs w:val="0"/>
          <w:sz w:val="20"/>
          <w:szCs w:val="20"/>
          <w:lang w:val="de-DE"/>
        </w:rPr>
      </w:pPr>
      <w:r>
        <w:rPr>
          <w:rFonts w:ascii="ABBvoice" w:hAnsi="ABBvoice" w:cs="ABBvoice"/>
          <w:b w:val="0"/>
          <w:bCs w:val="0"/>
          <w:sz w:val="20"/>
          <w:szCs w:val="20"/>
          <w:lang w:val="de-DE"/>
        </w:rPr>
        <w:t xml:space="preserve">Diese Schulungsmaßnahme führen wir gerne auch bei Ihnen vor Ort zu speziell mit Ihnen abgestimmten Terminen durch. Rufen Sie uns an! Wir erstellen Ihnen gerne ein individuelles Angebot. </w:t>
      </w:r>
    </w:p>
    <w:p w:rsidR="003C53A6" w:rsidRPr="00585AB6" w:rsidRDefault="003C53A6" w:rsidP="009814AA">
      <w:pPr>
        <w:pStyle w:val="Default"/>
        <w:rPr>
          <w:lang w:val="de-DE"/>
        </w:rPr>
      </w:pPr>
    </w:p>
    <w:sectPr w:rsidR="003C53A6" w:rsidRPr="00585AB6" w:rsidSect="002E724E">
      <w:headerReference w:type="default" r:id="rId11"/>
      <w:footerReference w:type="even" r:id="rId12"/>
      <w:pgSz w:w="12240" w:h="16340"/>
      <w:pgMar w:top="1095" w:right="451" w:bottom="643" w:left="900" w:header="720" w:footer="1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C6" w:rsidRDefault="009350C6" w:rsidP="006465EB">
      <w:pPr>
        <w:spacing w:after="0" w:line="240" w:lineRule="auto"/>
      </w:pPr>
      <w:r>
        <w:separator/>
      </w:r>
    </w:p>
  </w:endnote>
  <w:endnote w:type="continuationSeparator" w:id="0">
    <w:p w:rsidR="009350C6" w:rsidRDefault="009350C6" w:rsidP="0064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BBvoice">
    <w:altName w:val="ABBvoice"/>
    <w:panose1 w:val="020D0603020503020204"/>
    <w:charset w:val="00"/>
    <w:family w:val="swiss"/>
    <w:pitch w:val="variable"/>
    <w:sig w:usb0="A000006F" w:usb1="0000004B" w:usb2="00000028" w:usb3="00000000" w:csb0="00000013" w:csb1="00000000"/>
  </w:font>
  <w:font w:name="ABBvoice Light">
    <w:altName w:val="ABBvoice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BB Neue Helvetica Light">
    <w:altName w:val="Corbel"/>
    <w:charset w:val="00"/>
    <w:family w:val="swiss"/>
    <w:pitch w:val="variable"/>
    <w:sig w:usb0="800000AF" w:usb1="10002042"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20" w:rsidRDefault="00AF3620" w:rsidP="00B801A8">
    <w:pPr>
      <w:pStyle w:val="BodyText2Indent"/>
      <w:tabs>
        <w:tab w:val="left" w:pos="6237"/>
      </w:tabs>
      <w:rPr>
        <w:rFonts w:ascii="ABBvoice" w:hAnsi="ABBvoice" w:cs="ABBvoice"/>
        <w:b/>
        <w:sz w:val="17"/>
        <w:szCs w:val="17"/>
        <w:lang w:val="de-DE"/>
      </w:rPr>
    </w:pPr>
    <w:r>
      <w:rPr>
        <w:rFonts w:ascii="ABBvoice" w:hAnsi="ABBvoice" w:cs="ABBvoice"/>
        <w:b/>
        <w:sz w:val="17"/>
        <w:szCs w:val="17"/>
        <w:lang w:val="de-DE"/>
      </w:rPr>
      <w:t xml:space="preserve">Anschrift  </w:t>
    </w:r>
    <w:r>
      <w:rPr>
        <w:rFonts w:ascii="ABBvoice" w:hAnsi="ABBvoice" w:cs="ABBvoice"/>
        <w:b/>
        <w:sz w:val="17"/>
        <w:szCs w:val="17"/>
        <w:lang w:val="de-DE"/>
      </w:rPr>
      <w:tab/>
      <w:t xml:space="preserve">Lehrgangssekretariat </w:t>
    </w:r>
  </w:p>
  <w:p w:rsidR="00AF3620" w:rsidRDefault="00AF3620" w:rsidP="00B801A8">
    <w:pPr>
      <w:pStyle w:val="BodyText2Indent"/>
      <w:tabs>
        <w:tab w:val="left" w:pos="6237"/>
        <w:tab w:val="left" w:pos="6660"/>
      </w:tabs>
      <w:rPr>
        <w:rFonts w:ascii="ABBvoice" w:hAnsi="ABBvoice" w:cs="ABBvoice"/>
        <w:sz w:val="17"/>
        <w:szCs w:val="17"/>
        <w:lang w:val="de-DE"/>
      </w:rPr>
    </w:pPr>
    <w:r>
      <w:rPr>
        <w:rFonts w:ascii="ABBvoice" w:hAnsi="ABBvoice" w:cs="ABBvoice"/>
        <w:sz w:val="17"/>
        <w:szCs w:val="17"/>
        <w:lang w:val="de-DE"/>
      </w:rPr>
      <w:t xml:space="preserve">ABB Automation GmbH </w:t>
    </w:r>
    <w:r>
      <w:rPr>
        <w:rFonts w:ascii="ABBvoice" w:hAnsi="ABBvoice" w:cs="ABBvoice"/>
        <w:sz w:val="17"/>
        <w:szCs w:val="17"/>
        <w:lang w:val="de-DE"/>
      </w:rPr>
      <w:tab/>
      <w:t>Phone:</w:t>
    </w:r>
    <w:r>
      <w:rPr>
        <w:rFonts w:ascii="ABBvoice" w:hAnsi="ABBvoice" w:cs="ABBvoice"/>
        <w:sz w:val="17"/>
        <w:szCs w:val="17"/>
        <w:lang w:val="de-DE"/>
      </w:rPr>
      <w:tab/>
      <w:t xml:space="preserve">+49 69 7930 4801 </w:t>
    </w:r>
    <w:r>
      <w:rPr>
        <w:rFonts w:ascii="ABBvoice" w:hAnsi="ABBvoice" w:cs="ABBvoice"/>
        <w:sz w:val="17"/>
        <w:szCs w:val="17"/>
        <w:lang w:val="de-DE"/>
      </w:rPr>
      <w:br/>
      <w:t>Service Control, ATG/S</w:t>
    </w:r>
    <w:r w:rsidR="005906EA">
      <w:rPr>
        <w:rFonts w:ascii="ABBvoice" w:hAnsi="ABBvoice" w:cs="ABBvoice"/>
        <w:sz w:val="17"/>
        <w:szCs w:val="17"/>
        <w:lang w:val="de-DE"/>
      </w:rPr>
      <w:t>O</w:t>
    </w:r>
    <w:r w:rsidR="00A447C8">
      <w:rPr>
        <w:rFonts w:ascii="ABBvoice" w:hAnsi="ABBvoice" w:cs="ABBvoice"/>
        <w:sz w:val="17"/>
        <w:szCs w:val="17"/>
        <w:lang w:val="de-DE"/>
      </w:rPr>
      <w:t xml:space="preserve">CT </w:t>
    </w:r>
    <w:r w:rsidR="00A447C8">
      <w:rPr>
        <w:rFonts w:ascii="ABBvoice" w:hAnsi="ABBvoice" w:cs="ABBvoice"/>
        <w:sz w:val="17"/>
        <w:szCs w:val="17"/>
        <w:lang w:val="de-DE"/>
      </w:rPr>
      <w:tab/>
      <w:t xml:space="preserve">Fax: </w:t>
    </w:r>
    <w:r w:rsidR="00A447C8">
      <w:rPr>
        <w:rFonts w:ascii="ABBvoice" w:hAnsi="ABBvoice" w:cs="ABBvoice"/>
        <w:sz w:val="17"/>
        <w:szCs w:val="17"/>
        <w:lang w:val="de-DE"/>
      </w:rPr>
      <w:tab/>
    </w:r>
    <w:r w:rsidR="00B801A8">
      <w:rPr>
        <w:rFonts w:ascii="ABBvoice" w:hAnsi="ABBvoice" w:cs="ABBvoice"/>
        <w:sz w:val="17"/>
        <w:szCs w:val="17"/>
        <w:lang w:val="de-DE"/>
      </w:rPr>
      <w:tab/>
    </w:r>
    <w:r w:rsidR="00A447C8">
      <w:rPr>
        <w:rFonts w:ascii="ABBvoice" w:hAnsi="ABBvoice" w:cs="ABBvoice"/>
        <w:sz w:val="17"/>
        <w:szCs w:val="17"/>
        <w:lang w:val="de-DE"/>
      </w:rPr>
      <w:t>+49 69 7930 4652</w:t>
    </w:r>
    <w:r>
      <w:rPr>
        <w:rFonts w:ascii="ABBvoice" w:hAnsi="ABBvoice" w:cs="ABBvoice"/>
        <w:sz w:val="17"/>
        <w:szCs w:val="17"/>
        <w:lang w:val="de-DE"/>
      </w:rPr>
      <w:t xml:space="preserve"> </w:t>
    </w:r>
    <w:r>
      <w:rPr>
        <w:rFonts w:ascii="ABBvoice" w:hAnsi="ABBvoice" w:cs="ABBvoice"/>
        <w:sz w:val="17"/>
        <w:szCs w:val="17"/>
        <w:lang w:val="de-DE"/>
      </w:rPr>
      <w:br/>
      <w:t xml:space="preserve">Stierstädter Straße 5 </w:t>
    </w:r>
    <w:r>
      <w:rPr>
        <w:rFonts w:ascii="ABBvoice" w:hAnsi="ABBvoice" w:cs="ABBvoice"/>
        <w:sz w:val="17"/>
        <w:szCs w:val="17"/>
        <w:lang w:val="de-DE"/>
      </w:rPr>
      <w:tab/>
      <w:t>Mail:</w:t>
    </w:r>
    <w:r>
      <w:rPr>
        <w:rFonts w:ascii="ABBvoice" w:hAnsi="ABBvoice" w:cs="ABBvoice"/>
        <w:sz w:val="17"/>
        <w:szCs w:val="17"/>
        <w:lang w:val="de-DE"/>
      </w:rPr>
      <w:tab/>
    </w:r>
    <w:r w:rsidR="00B801A8">
      <w:rPr>
        <w:rFonts w:ascii="ABBvoice" w:hAnsi="ABBvoice" w:cs="ABBvoice"/>
        <w:sz w:val="17"/>
        <w:szCs w:val="17"/>
        <w:lang w:val="de-DE"/>
      </w:rPr>
      <w:tab/>
    </w:r>
    <w:hyperlink r:id="rId1" w:history="1">
      <w:r>
        <w:rPr>
          <w:rStyle w:val="Hyperlink"/>
          <w:rFonts w:ascii="ABBvoice" w:hAnsi="ABBvoice" w:cs="ABBvoice"/>
          <w:sz w:val="17"/>
          <w:szCs w:val="17"/>
          <w:lang w:val="de-DE"/>
        </w:rPr>
        <w:t>abbuniversity@de.abb.com</w:t>
      </w:r>
    </w:hyperlink>
    <w:r>
      <w:rPr>
        <w:rFonts w:ascii="ABBvoice" w:hAnsi="ABBvoice" w:cs="ABBvoice"/>
        <w:color w:val="0000FF"/>
        <w:sz w:val="17"/>
        <w:szCs w:val="17"/>
        <w:u w:val="single"/>
        <w:lang w:val="de-DE"/>
      </w:rPr>
      <w:br/>
    </w:r>
    <w:r>
      <w:rPr>
        <w:rFonts w:ascii="ABBvoice" w:hAnsi="ABBvoice" w:cs="ABBvoice"/>
        <w:sz w:val="17"/>
        <w:szCs w:val="17"/>
        <w:lang w:val="de-DE"/>
      </w:rPr>
      <w:t xml:space="preserve">60488 Frankfurt am Main </w:t>
    </w:r>
  </w:p>
  <w:p w:rsidR="00AF3620" w:rsidRDefault="00AF3620" w:rsidP="00B801A8">
    <w:pPr>
      <w:pStyle w:val="BodyText2Indent"/>
      <w:tabs>
        <w:tab w:val="left" w:pos="6237"/>
        <w:tab w:val="left" w:pos="6660"/>
      </w:tabs>
      <w:rPr>
        <w:rFonts w:ascii="ABBvoice" w:hAnsi="ABBvoice" w:cs="ABBvoice"/>
        <w:b/>
        <w:sz w:val="17"/>
        <w:szCs w:val="17"/>
        <w:lang w:val="de-DE"/>
      </w:rPr>
    </w:pPr>
    <w:r>
      <w:rPr>
        <w:rFonts w:ascii="ABBvoice" w:hAnsi="ABBvoice" w:cs="ABBvoice"/>
        <w:sz w:val="17"/>
        <w:szCs w:val="17"/>
        <w:lang w:val="de-DE"/>
      </w:rPr>
      <w:tab/>
    </w:r>
    <w:r>
      <w:rPr>
        <w:rFonts w:ascii="ABBvoice" w:hAnsi="ABBvoice" w:cs="ABBvoice"/>
        <w:b/>
        <w:sz w:val="17"/>
        <w:szCs w:val="17"/>
        <w:lang w:val="de-DE"/>
      </w:rPr>
      <w:t xml:space="preserve">Kundencenter </w:t>
    </w:r>
  </w:p>
  <w:p w:rsidR="00AF3620" w:rsidRDefault="00AF3620" w:rsidP="00B801A8">
    <w:pPr>
      <w:pStyle w:val="BodyText2Indent"/>
      <w:tabs>
        <w:tab w:val="left" w:pos="6237"/>
        <w:tab w:val="left" w:pos="6660"/>
      </w:tabs>
      <w:rPr>
        <w:rFonts w:ascii="ABBvoice" w:hAnsi="ABBvoice" w:cs="ABBvoice"/>
        <w:sz w:val="17"/>
        <w:szCs w:val="17"/>
        <w:lang w:val="de-DE"/>
      </w:rPr>
    </w:pPr>
    <w:r>
      <w:rPr>
        <w:rFonts w:ascii="ABBvoice" w:hAnsi="ABBvoice" w:cs="ABBvoice"/>
        <w:b/>
        <w:sz w:val="17"/>
        <w:szCs w:val="17"/>
        <w:lang w:val="de-DE"/>
      </w:rPr>
      <w:tab/>
    </w:r>
    <w:r>
      <w:rPr>
        <w:rFonts w:ascii="ABBvoice" w:hAnsi="ABBvoice" w:cs="ABBvoice"/>
        <w:sz w:val="17"/>
        <w:szCs w:val="17"/>
        <w:lang w:val="de-DE"/>
      </w:rPr>
      <w:t>Phone:</w:t>
    </w:r>
    <w:r>
      <w:rPr>
        <w:rFonts w:ascii="ABBvoice" w:hAnsi="ABBvoice" w:cs="ABBvoice"/>
        <w:sz w:val="17"/>
        <w:szCs w:val="17"/>
        <w:lang w:val="de-DE"/>
      </w:rPr>
      <w:tab/>
      <w:t xml:space="preserve">+49 180 5 222 580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C6" w:rsidRDefault="009350C6" w:rsidP="006465EB">
      <w:pPr>
        <w:spacing w:after="0" w:line="240" w:lineRule="auto"/>
      </w:pPr>
      <w:r>
        <w:separator/>
      </w:r>
    </w:p>
  </w:footnote>
  <w:footnote w:type="continuationSeparator" w:id="0">
    <w:p w:rsidR="009350C6" w:rsidRDefault="009350C6" w:rsidP="0064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EB" w:rsidRDefault="00960BD9" w:rsidP="00B97002">
    <w:pPr>
      <w:pStyle w:val="Kopfzeile"/>
      <w:ind w:right="539"/>
      <w:jc w:val="right"/>
    </w:pPr>
    <w:r w:rsidRPr="001F3E07">
      <w:rPr>
        <w:noProof/>
        <w:lang w:val="de-DE" w:eastAsia="de-DE"/>
      </w:rPr>
      <w:drawing>
        <wp:inline distT="0" distB="0" distL="0" distR="0">
          <wp:extent cx="723900" cy="276225"/>
          <wp:effectExtent l="0" t="0" r="0" b="9525"/>
          <wp:docPr id="61" name="Picture 61" descr="C:\Downloads\logo\ABB_Logo_Digital_RGB\Screen_RGB\ABB_Logo_Screen_RGB_29px_@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wnloads\logo\ABB_Logo_Digital_RGB\Screen_RGB\ABB_Logo_Screen_RGB_29px_@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D79D25"/>
    <w:multiLevelType w:val="hybridMultilevel"/>
    <w:tmpl w:val="995CA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794C95"/>
    <w:multiLevelType w:val="hybridMultilevel"/>
    <w:tmpl w:val="02382F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C4F62"/>
    <w:multiLevelType w:val="hybridMultilevel"/>
    <w:tmpl w:val="617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7222"/>
    <w:multiLevelType w:val="hybridMultilevel"/>
    <w:tmpl w:val="845A0876"/>
    <w:lvl w:ilvl="0" w:tplc="FFFFFFFF">
      <w:numFmt w:val="bullet"/>
      <w:lvlText w:val="-"/>
      <w:lvlJc w:val="left"/>
      <w:pPr>
        <w:tabs>
          <w:tab w:val="num" w:pos="360"/>
        </w:tabs>
        <w:ind w:left="360" w:hanging="360"/>
      </w:pPr>
      <w:rPr>
        <w:rFonts w:ascii="Arial" w:hAnsi="Arial" w:hint="default"/>
        <w:color w:val="auto"/>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17301"/>
    <w:multiLevelType w:val="hybridMultilevel"/>
    <w:tmpl w:val="6A76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D0F3A"/>
    <w:multiLevelType w:val="hybridMultilevel"/>
    <w:tmpl w:val="B91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20242"/>
    <w:multiLevelType w:val="hybridMultilevel"/>
    <w:tmpl w:val="85B8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C4FEB"/>
    <w:multiLevelType w:val="hybridMultilevel"/>
    <w:tmpl w:val="4AD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C4443"/>
    <w:multiLevelType w:val="hybridMultilevel"/>
    <w:tmpl w:val="EA04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8625C"/>
    <w:multiLevelType w:val="hybridMultilevel"/>
    <w:tmpl w:val="436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34527"/>
    <w:multiLevelType w:val="hybridMultilevel"/>
    <w:tmpl w:val="7DD5F2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19349E"/>
    <w:multiLevelType w:val="hybridMultilevel"/>
    <w:tmpl w:val="FD1486D2"/>
    <w:lvl w:ilvl="0" w:tplc="FFFFFFFF">
      <w:start w:val="1"/>
      <w:numFmt w:val="bullet"/>
      <w:pStyle w:val="Bullet"/>
      <w:lvlText w:val=""/>
      <w:lvlJc w:val="left"/>
      <w:pPr>
        <w:tabs>
          <w:tab w:val="num" w:pos="360"/>
        </w:tabs>
        <w:ind w:left="340" w:hanging="340"/>
      </w:pPr>
      <w:rPr>
        <w:rFonts w:ascii="Symbol" w:hAnsi="Symbol" w:hint="default"/>
        <w:color w:val="004B7A"/>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B7DBE"/>
    <w:multiLevelType w:val="hybridMultilevel"/>
    <w:tmpl w:val="808E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0"/>
  </w:num>
  <w:num w:numId="4">
    <w:abstractNumId w:val="2"/>
  </w:num>
  <w:num w:numId="5">
    <w:abstractNumId w:val="4"/>
  </w:num>
  <w:num w:numId="6">
    <w:abstractNumId w:val="7"/>
  </w:num>
  <w:num w:numId="7">
    <w:abstractNumId w:val="8"/>
  </w:num>
  <w:num w:numId="8">
    <w:abstractNumId w:val="9"/>
  </w:num>
  <w:num w:numId="9">
    <w:abstractNumId w:val="6"/>
  </w:num>
  <w:num w:numId="10">
    <w:abstractNumId w:val="5"/>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E5"/>
    <w:rsid w:val="00065535"/>
    <w:rsid w:val="00076E9A"/>
    <w:rsid w:val="000B0A57"/>
    <w:rsid w:val="00134E0C"/>
    <w:rsid w:val="001727FD"/>
    <w:rsid w:val="00180124"/>
    <w:rsid w:val="00190697"/>
    <w:rsid w:val="001B11F5"/>
    <w:rsid w:val="001B3586"/>
    <w:rsid w:val="001B3EF1"/>
    <w:rsid w:val="001C4F0F"/>
    <w:rsid w:val="001E1A91"/>
    <w:rsid w:val="001F3E07"/>
    <w:rsid w:val="00241F17"/>
    <w:rsid w:val="002B0431"/>
    <w:rsid w:val="002E724E"/>
    <w:rsid w:val="00353424"/>
    <w:rsid w:val="003B3A99"/>
    <w:rsid w:val="003C53A6"/>
    <w:rsid w:val="003D5749"/>
    <w:rsid w:val="003F35E5"/>
    <w:rsid w:val="0045390C"/>
    <w:rsid w:val="00467A60"/>
    <w:rsid w:val="004958B4"/>
    <w:rsid w:val="004F3FE0"/>
    <w:rsid w:val="00564189"/>
    <w:rsid w:val="00570621"/>
    <w:rsid w:val="00585AB6"/>
    <w:rsid w:val="005906EA"/>
    <w:rsid w:val="005B2C08"/>
    <w:rsid w:val="005C00C3"/>
    <w:rsid w:val="006108BD"/>
    <w:rsid w:val="006465EB"/>
    <w:rsid w:val="006535CF"/>
    <w:rsid w:val="00654EA6"/>
    <w:rsid w:val="006C0C80"/>
    <w:rsid w:val="006F4FEA"/>
    <w:rsid w:val="006F50F5"/>
    <w:rsid w:val="00750F85"/>
    <w:rsid w:val="007757C5"/>
    <w:rsid w:val="00785070"/>
    <w:rsid w:val="007A78AF"/>
    <w:rsid w:val="00820B13"/>
    <w:rsid w:val="008625F0"/>
    <w:rsid w:val="008639CE"/>
    <w:rsid w:val="008D202F"/>
    <w:rsid w:val="00931D26"/>
    <w:rsid w:val="009350C6"/>
    <w:rsid w:val="00960BD9"/>
    <w:rsid w:val="009814AA"/>
    <w:rsid w:val="009A1EAF"/>
    <w:rsid w:val="009C3921"/>
    <w:rsid w:val="00A04C9F"/>
    <w:rsid w:val="00A12210"/>
    <w:rsid w:val="00A237BA"/>
    <w:rsid w:val="00A447C8"/>
    <w:rsid w:val="00AF3620"/>
    <w:rsid w:val="00AF726A"/>
    <w:rsid w:val="00B2774E"/>
    <w:rsid w:val="00B368E2"/>
    <w:rsid w:val="00B801A8"/>
    <w:rsid w:val="00B97002"/>
    <w:rsid w:val="00BA3E12"/>
    <w:rsid w:val="00BD1972"/>
    <w:rsid w:val="00C01D2C"/>
    <w:rsid w:val="00C25899"/>
    <w:rsid w:val="00C33A68"/>
    <w:rsid w:val="00C46EC0"/>
    <w:rsid w:val="00CA2A85"/>
    <w:rsid w:val="00CB6201"/>
    <w:rsid w:val="00D16A57"/>
    <w:rsid w:val="00D43CDF"/>
    <w:rsid w:val="00E036E3"/>
    <w:rsid w:val="00E72D62"/>
    <w:rsid w:val="00EB73D9"/>
    <w:rsid w:val="00ED2B2B"/>
    <w:rsid w:val="00ED768A"/>
    <w:rsid w:val="00EE7518"/>
    <w:rsid w:val="00F97E48"/>
    <w:rsid w:val="00FA2216"/>
    <w:rsid w:val="00FB6D38"/>
    <w:rsid w:val="00FB7AE5"/>
    <w:rsid w:val="00FE2866"/>
    <w:rsid w:val="00FF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efaultImageDpi w14:val="96"/>
  <w15:docId w15:val="{613BC843-E9A9-4097-8851-51765B41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BBvoice" w:hAnsi="ABBvoice" w:cs="ABBvoice"/>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240" w:lineRule="atLeast"/>
    </w:pPr>
    <w:rPr>
      <w:rFonts w:cs="Times New Roman"/>
      <w:color w:val="auto"/>
    </w:rPr>
  </w:style>
  <w:style w:type="paragraph" w:customStyle="1" w:styleId="CM2">
    <w:name w:val="CM2"/>
    <w:basedOn w:val="Default"/>
    <w:next w:val="Default"/>
    <w:uiPriority w:val="99"/>
    <w:pPr>
      <w:spacing w:line="240" w:lineRule="atLeast"/>
    </w:pPr>
    <w:rPr>
      <w:rFonts w:cs="Times New Roman"/>
      <w:color w:val="auto"/>
    </w:rPr>
  </w:style>
  <w:style w:type="paragraph" w:customStyle="1" w:styleId="CM5">
    <w:name w:val="CM5"/>
    <w:basedOn w:val="Default"/>
    <w:next w:val="Default"/>
    <w:uiPriority w:val="99"/>
    <w:pPr>
      <w:spacing w:line="240" w:lineRule="atLeast"/>
    </w:pPr>
    <w:rPr>
      <w:rFonts w:cs="Times New Roman"/>
      <w:color w:val="auto"/>
    </w:rPr>
  </w:style>
  <w:style w:type="table" w:styleId="Tabellenraster">
    <w:name w:val="Table Grid"/>
    <w:basedOn w:val="NormaleTabelle"/>
    <w:uiPriority w:val="39"/>
    <w:rsid w:val="00FE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65EB"/>
    <w:pPr>
      <w:tabs>
        <w:tab w:val="center" w:pos="4680"/>
        <w:tab w:val="right" w:pos="9360"/>
      </w:tabs>
    </w:pPr>
  </w:style>
  <w:style w:type="character" w:customStyle="1" w:styleId="KopfzeileZchn">
    <w:name w:val="Kopfzeile Zchn"/>
    <w:basedOn w:val="Absatz-Standardschriftart"/>
    <w:link w:val="Kopfzeile"/>
    <w:uiPriority w:val="99"/>
    <w:rsid w:val="006465EB"/>
  </w:style>
  <w:style w:type="paragraph" w:styleId="Fuzeile">
    <w:name w:val="footer"/>
    <w:basedOn w:val="Standard"/>
    <w:link w:val="FuzeileZchn"/>
    <w:uiPriority w:val="99"/>
    <w:unhideWhenUsed/>
    <w:rsid w:val="006465EB"/>
    <w:pPr>
      <w:tabs>
        <w:tab w:val="center" w:pos="4680"/>
        <w:tab w:val="right" w:pos="9360"/>
      </w:tabs>
    </w:pPr>
  </w:style>
  <w:style w:type="character" w:customStyle="1" w:styleId="FuzeileZchn">
    <w:name w:val="Fußzeile Zchn"/>
    <w:basedOn w:val="Absatz-Standardschriftart"/>
    <w:link w:val="Fuzeile"/>
    <w:uiPriority w:val="99"/>
    <w:rsid w:val="006465EB"/>
  </w:style>
  <w:style w:type="character" w:styleId="Hyperlink">
    <w:name w:val="Hyperlink"/>
    <w:uiPriority w:val="99"/>
    <w:unhideWhenUsed/>
    <w:rsid w:val="002E724E"/>
    <w:rPr>
      <w:color w:val="0000FF"/>
      <w:u w:val="single"/>
    </w:rPr>
  </w:style>
  <w:style w:type="paragraph" w:customStyle="1" w:styleId="Pa5">
    <w:name w:val="Pa5"/>
    <w:basedOn w:val="Default"/>
    <w:next w:val="Default"/>
    <w:uiPriority w:val="99"/>
    <w:rsid w:val="00FB6D38"/>
    <w:pPr>
      <w:widowControl/>
      <w:spacing w:line="121" w:lineRule="atLeast"/>
    </w:pPr>
    <w:rPr>
      <w:rFonts w:ascii="ABBvoice Light" w:hAnsi="ABBvoice Light" w:cs="Times New Roman"/>
      <w:color w:val="auto"/>
    </w:rPr>
  </w:style>
  <w:style w:type="paragraph" w:styleId="Sprechblasentext">
    <w:name w:val="Balloon Text"/>
    <w:basedOn w:val="Standard"/>
    <w:link w:val="SprechblasentextZchn"/>
    <w:uiPriority w:val="99"/>
    <w:semiHidden/>
    <w:unhideWhenUsed/>
    <w:rsid w:val="00B970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7002"/>
    <w:rPr>
      <w:rFonts w:ascii="Segoe UI" w:hAnsi="Segoe UI" w:cs="Segoe UI"/>
      <w:sz w:val="18"/>
      <w:szCs w:val="18"/>
    </w:rPr>
  </w:style>
  <w:style w:type="paragraph" w:customStyle="1" w:styleId="BodyText2Indent">
    <w:name w:val="Body Text 2 Indent"/>
    <w:basedOn w:val="Textkrper2"/>
    <w:rsid w:val="00AF3620"/>
    <w:pPr>
      <w:spacing w:before="60" w:line="240" w:lineRule="auto"/>
    </w:pPr>
    <w:rPr>
      <w:rFonts w:ascii="ABB Neue Helvetica Light" w:hAnsi="ABB Neue Helvetica Light"/>
      <w:sz w:val="20"/>
      <w:szCs w:val="20"/>
    </w:rPr>
  </w:style>
  <w:style w:type="paragraph" w:styleId="Textkrper2">
    <w:name w:val="Body Text 2"/>
    <w:basedOn w:val="Standard"/>
    <w:link w:val="Textkrper2Zchn"/>
    <w:uiPriority w:val="99"/>
    <w:semiHidden/>
    <w:unhideWhenUsed/>
    <w:rsid w:val="00AF3620"/>
    <w:pPr>
      <w:spacing w:after="120" w:line="480" w:lineRule="auto"/>
    </w:pPr>
  </w:style>
  <w:style w:type="character" w:customStyle="1" w:styleId="Textkrper2Zchn">
    <w:name w:val="Textkörper 2 Zchn"/>
    <w:basedOn w:val="Absatz-Standardschriftart"/>
    <w:link w:val="Textkrper2"/>
    <w:uiPriority w:val="99"/>
    <w:semiHidden/>
    <w:rsid w:val="00AF3620"/>
    <w:rPr>
      <w:sz w:val="22"/>
      <w:szCs w:val="22"/>
    </w:rPr>
  </w:style>
  <w:style w:type="paragraph" w:customStyle="1" w:styleId="Coursecode">
    <w:name w:val="Course code"/>
    <w:basedOn w:val="Standard"/>
    <w:autoRedefine/>
    <w:rsid w:val="00C46EC0"/>
    <w:pPr>
      <w:spacing w:after="0" w:line="240" w:lineRule="auto"/>
    </w:pPr>
    <w:rPr>
      <w:rFonts w:ascii="ABB Neue Helvetica Light" w:hAnsi="ABB Neue Helvetica Light"/>
      <w:bCs/>
      <w:noProof/>
      <w:color w:val="00B0F0"/>
      <w:sz w:val="44"/>
      <w:szCs w:val="44"/>
    </w:rPr>
  </w:style>
  <w:style w:type="paragraph" w:customStyle="1" w:styleId="Bullet">
    <w:name w:val="Bullet"/>
    <w:basedOn w:val="Standard"/>
    <w:rsid w:val="00C46EC0"/>
    <w:pPr>
      <w:numPr>
        <w:numId w:val="12"/>
      </w:numPr>
      <w:spacing w:after="60" w:line="240" w:lineRule="auto"/>
    </w:pPr>
    <w:rPr>
      <w:rFonts w:ascii="Arial" w:hAnsi="Arial"/>
      <w:snapToGrid w:val="0"/>
      <w:color w:val="000000"/>
      <w:sz w:val="18"/>
      <w:szCs w:val="18"/>
      <w:lang w:val="en-GB"/>
    </w:rPr>
  </w:style>
  <w:style w:type="paragraph" w:customStyle="1" w:styleId="Smallheader">
    <w:name w:val="Small header"/>
    <w:autoRedefine/>
    <w:rsid w:val="00785070"/>
    <w:rPr>
      <w:rFonts w:ascii="ABB Neue Helvetica Light" w:hAnsi="ABB Neue Helvetica Light"/>
      <w:b/>
      <w:color w:val="FFFFFF"/>
      <w:lang w:val="de-DE"/>
    </w:rPr>
  </w:style>
  <w:style w:type="paragraph" w:customStyle="1" w:styleId="Footerheader">
    <w:name w:val="Footer header"/>
    <w:basedOn w:val="Standard"/>
    <w:autoRedefine/>
    <w:rsid w:val="003C53A6"/>
    <w:pPr>
      <w:spacing w:after="0" w:line="240" w:lineRule="auto"/>
      <w:ind w:left="284"/>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94193">
      <w:bodyDiv w:val="1"/>
      <w:marLeft w:val="0"/>
      <w:marRight w:val="0"/>
      <w:marTop w:val="0"/>
      <w:marBottom w:val="0"/>
      <w:divBdr>
        <w:top w:val="none" w:sz="0" w:space="0" w:color="auto"/>
        <w:left w:val="none" w:sz="0" w:space="0" w:color="auto"/>
        <w:bottom w:val="none" w:sz="0" w:space="0" w:color="auto"/>
        <w:right w:val="none" w:sz="0" w:space="0" w:color="auto"/>
      </w:divBdr>
    </w:div>
    <w:div w:id="520704500">
      <w:bodyDiv w:val="1"/>
      <w:marLeft w:val="0"/>
      <w:marRight w:val="0"/>
      <w:marTop w:val="0"/>
      <w:marBottom w:val="0"/>
      <w:divBdr>
        <w:top w:val="none" w:sz="0" w:space="0" w:color="auto"/>
        <w:left w:val="none" w:sz="0" w:space="0" w:color="auto"/>
        <w:bottom w:val="none" w:sz="0" w:space="0" w:color="auto"/>
        <w:right w:val="none" w:sz="0" w:space="0" w:color="auto"/>
      </w:divBdr>
    </w:div>
    <w:div w:id="17350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b.de/controlsystems" TargetMode="External"/><Relationship Id="rId4" Type="http://schemas.openxmlformats.org/officeDocument/2006/relationships/settings" Target="settings.xml"/><Relationship Id="rId9" Type="http://schemas.openxmlformats.org/officeDocument/2006/relationships/hyperlink" Target="http://www.abb.de/abbuniversit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dey013426\d$\DatenAsyst\3_Seminare\2_Seminar_Beschreibungen\!!_2015\Templates\abbuniversity@de.a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AB7C-C89B-4F2F-A529-775B19D4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Sriharsha Kandgal</dc:creator>
  <cp:keywords/>
  <dc:description/>
  <cp:lastModifiedBy>Hans-Ulrich Oette</cp:lastModifiedBy>
  <cp:revision>17</cp:revision>
  <cp:lastPrinted>2018-01-19T08:43:00Z</cp:lastPrinted>
  <dcterms:created xsi:type="dcterms:W3CDTF">2018-06-27T05:32:00Z</dcterms:created>
  <dcterms:modified xsi:type="dcterms:W3CDTF">2018-09-24T05:47:00Z</dcterms:modified>
</cp:coreProperties>
</file>